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ind w:firstLine="2871" w:firstLineChars="650"/>
        <w:rPr>
          <w:rFonts w:hint="eastAsia" w:ascii="楷体" w:hAnsi="楷体" w:eastAsia="宋体" w:cs="楷体"/>
          <w:b/>
          <w:sz w:val="44"/>
          <w:szCs w:val="44"/>
          <w:lang w:eastAsia="zh-CN"/>
        </w:rPr>
        <w:sectPr>
          <w:pgSz w:w="11906" w:h="16838"/>
          <w:pgMar w:top="2098" w:right="1474" w:bottom="1985" w:left="1588" w:header="851" w:footer="992" w:gutter="0"/>
          <w:cols w:space="425" w:num="1"/>
          <w:docGrid w:type="lines" w:linePitch="312" w:charSpace="0"/>
        </w:sectPr>
      </w:pPr>
      <w:r>
        <w:rPr>
          <w:rFonts w:hint="eastAsia"/>
          <w:b/>
          <w:sz w:val="44"/>
          <w:szCs w:val="44"/>
          <w:lang w:val="en-US" w:eastAsia="zh-CN"/>
        </w:rPr>
        <w:t>霸州</w:t>
      </w:r>
      <w:r>
        <w:rPr>
          <w:b/>
          <w:sz w:val="44"/>
          <w:szCs w:val="44"/>
        </w:rPr>
        <w:t>市</w:t>
      </w:r>
      <w:r>
        <w:rPr>
          <w:rFonts w:hint="eastAsia"/>
          <w:b/>
          <w:sz w:val="44"/>
          <w:szCs w:val="44"/>
          <w:lang w:eastAsia="zh-CN"/>
        </w:rPr>
        <w:t>农业局</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霸州市农业局</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360" w:lineRule="auto"/>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研究拟定农业和农村经济发展战略、中长期发展规划，经批准后组织实施。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研究拟定农业产业政策，引导农业产业结构合理调整，农业资源合理配置和农业产品品质的改善；提出有关农产品及农业生产资料价格，大宗农产品流通、农村信贷、税收及农业财政补贴政策建议；组织对农业法律法规执行情况的监督检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研究提出深化农村经济体制改革意见；指导农业社会化服务体系建设和乡村集体经济组织、合作经济组织建设；稳定和完善农村基本经营制度、政策，调节农村经济利益关系，指导、监督减轻农民负担和耕地使用权流转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研究提出农业产业化经营方针政策，大宗农产品产地批发市场体系建设与发展规划，促进农业产前、产中、产后一体化；组织协调“菜篮子工程”和农业生产资料市场体系建设；研究提出主管产业重要产品、重要农业生产资料进出口建议；预测并发布农业各产业产品及农业生产资料供求情况和农村经济信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组织生态农业和农业可持续发展工作；指导农用地、农村可再生能源开发利用和农业生物物种资源保护与管理。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拟定农业科技、农民教育培训、技术推广及其队伍建设的发展规划和有关政策，综合协调管理农科教结合工作，实施科教兴农战略；组织技术推广项目的遴选及实施；指导农民教育培训和农业职业技能开发工作。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拟定主管产业技术标准并组织实施；组织实施主管产业产品、绿色食品的质量监督、监测、认证和农业植物新品种保护工作；组织协调种子、农药等农业投入品质量检测、鉴定和执法监督管理；组织国内生产及进口种子、农药、有关肥料等产品的登记；负责农业机械化和农机安全监理及产品质量检验、鉴定和认证工作；组织监督市内植物防疫、检疫工作，发布疫情并组织扑灭。</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负责农业涉外事务；组织农业对外经济技术交流与合作。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负责机关及所属事业单位人事、劳动工资、机构编制工作；党群工作；纪检（监察工作）。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按照市政府有关规定，管理霸州市新能源办公室。同时管理霸州市农业广播学校。</w:t>
      </w:r>
    </w:p>
    <w:p>
      <w:pPr>
        <w:widowControl/>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承办市政府交办的其他事项。</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hint="default" w:ascii="仿宋_GB2312" w:eastAsia="仿宋_GB2312" w:cs="ArialUnicodeMS" w:hAnsiTheme="minorHAnsi"/>
                <w:kern w:val="0"/>
                <w:sz w:val="28"/>
                <w:szCs w:val="28"/>
                <w:lang w:val="en-US" w:eastAsia="zh-CN"/>
              </w:rPr>
            </w:pPr>
            <w:r>
              <w:rPr>
                <w:rFonts w:hint="eastAsia" w:ascii="仿宋_GB2312" w:eastAsia="仿宋_GB2312" w:cs="ArialUnicodeMS" w:hAnsiTheme="minorHAnsi"/>
                <w:kern w:val="0"/>
                <w:sz w:val="28"/>
                <w:szCs w:val="28"/>
                <w:lang w:eastAsia="zh-CN"/>
              </w:rPr>
              <w:t>霸州市农业局（本级）</w:t>
            </w:r>
          </w:p>
        </w:tc>
        <w:tc>
          <w:tcPr>
            <w:tcW w:w="2445"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行政单位</w:t>
            </w:r>
          </w:p>
        </w:tc>
        <w:tc>
          <w:tcPr>
            <w:tcW w:w="2665"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2</w:t>
            </w: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hint="eastAsia" w:ascii="仿宋_GB2312" w:eastAsia="仿宋_GB2312" w:cs="ArialUnicodeMS" w:hAnsiTheme="minorHAnsi"/>
                <w:kern w:val="0"/>
                <w:sz w:val="28"/>
                <w:szCs w:val="28"/>
                <w:lang w:val="en-US" w:eastAsia="zh-CN"/>
              </w:rPr>
            </w:pPr>
            <w:r>
              <w:rPr>
                <w:rFonts w:hint="eastAsia" w:ascii="仿宋_GB2312" w:eastAsia="仿宋_GB2312" w:cs="ArialUnicodeMS" w:hAnsiTheme="minorHAnsi"/>
                <w:kern w:val="0"/>
                <w:sz w:val="28"/>
                <w:szCs w:val="28"/>
                <w:lang w:val="en-US" w:eastAsia="zh-CN"/>
              </w:rPr>
              <w:t xml:space="preserve"> </w:t>
            </w: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3</w:t>
            </w: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3485" w:type="dxa"/>
            <w:tcBorders>
              <w:bottom w:val="single" w:color="auto" w:sz="4" w:space="0"/>
            </w:tcBorders>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244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c>
          <w:tcPr>
            <w:tcW w:w="266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2"/>
        <w:tblW w:w="9300" w:type="dxa"/>
        <w:jc w:val="center"/>
        <w:tblLayout w:type="fixed"/>
        <w:tblCellMar>
          <w:top w:w="0" w:type="dxa"/>
          <w:left w:w="0" w:type="dxa"/>
          <w:bottom w:w="0" w:type="dxa"/>
          <w:right w:w="0" w:type="dxa"/>
        </w:tblCellMar>
      </w:tblPr>
      <w:tblGrid>
        <w:gridCol w:w="2700"/>
        <w:gridCol w:w="450"/>
        <w:gridCol w:w="117"/>
        <w:gridCol w:w="341"/>
        <w:gridCol w:w="995"/>
        <w:gridCol w:w="2700"/>
        <w:gridCol w:w="133"/>
        <w:gridCol w:w="434"/>
        <w:gridCol w:w="26"/>
        <w:gridCol w:w="1404"/>
      </w:tblGrid>
      <w:tr>
        <w:tblPrEx>
          <w:tblCellMar>
            <w:top w:w="0" w:type="dxa"/>
            <w:left w:w="0" w:type="dxa"/>
            <w:bottom w:w="0" w:type="dxa"/>
            <w:right w:w="0" w:type="dxa"/>
          </w:tblCellMar>
        </w:tblPrEx>
        <w:trPr>
          <w:trHeight w:val="567" w:hRule="atLeast"/>
          <w:jc w:val="center"/>
        </w:trPr>
        <w:tc>
          <w:tcPr>
            <w:tcW w:w="9300" w:type="dxa"/>
            <w:gridSpan w:val="10"/>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eastAsia="宋体" w:cs="宋体"/>
                <w:i w:val="0"/>
                <w:color w:val="000000"/>
                <w:kern w:val="0"/>
                <w:sz w:val="20"/>
                <w:szCs w:val="20"/>
                <w:u w:val="none"/>
                <w:lang w:val="en-US" w:eastAsia="zh-CN" w:bidi="ar"/>
              </w:rPr>
              <w:t>廊坊市霸州市农业局（本级）</w:t>
            </w:r>
          </w:p>
        </w:tc>
        <w:tc>
          <w:tcPr>
            <w:tcW w:w="567"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收入</w:t>
            </w:r>
          </w:p>
        </w:tc>
        <w:tc>
          <w:tcPr>
            <w:tcW w:w="4697"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295"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项目</w:t>
            </w: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行次</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金额</w:t>
            </w: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项目</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行次</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295"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栏次</w:t>
            </w: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w:t>
            </w: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栏次</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65"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一、财政拨款收入</w:t>
            </w: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5,787.21</w:t>
            </w: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一、一般公共服务支出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28</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二、上级补助收入</w:t>
            </w: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二、外交支出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29</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三、事业收入</w:t>
            </w: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三、国防支出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四、经营收入</w:t>
            </w: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四、公共安全支出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31</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五、附属单位上缴收入</w:t>
            </w: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五、教育支出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32</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六、其他收入</w:t>
            </w: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2,012.71</w:t>
            </w: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六、科学技术支出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33</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7</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七、文化体育与传媒支出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34</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八、社会保障和就业支出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35</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9</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九、医疗卫生与计划生育支出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36</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十、节能环保支出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37</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5,675.09</w:t>
            </w: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十一、城乡社区支出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38</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十二、农林水支出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39</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4,193.56</w:t>
            </w: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13</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十三、交通运输支出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14</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十四、资源勘探信息等支出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41</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15</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十五、商业服务业等支出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42</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16</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十六、金融支出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43</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17</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十七、援助其他地区支出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44</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18</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十八、国土海洋气象等支出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45</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19</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十九、住房保障支出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46</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二十、粮油物资储备支出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47</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二十一、其他支出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48</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二十二、债务还本支出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49</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23</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二十三、债务付息支出</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本年收入合计</w:t>
            </w: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24</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7,799.92</w:t>
            </w: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本年支出合计</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51</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9,868.66</w:t>
            </w:r>
          </w:p>
        </w:tc>
      </w:tr>
      <w:tr>
        <w:tblPrEx>
          <w:tblCellMar>
            <w:top w:w="0" w:type="dxa"/>
            <w:left w:w="0" w:type="dxa"/>
            <w:bottom w:w="0" w:type="dxa"/>
            <w:right w:w="0" w:type="dxa"/>
          </w:tblCellMar>
        </w:tblPrEx>
        <w:trPr>
          <w:trHeight w:val="385"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用事业基金弥补收支差额</w:t>
            </w: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25</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结余分配</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52</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年初结转和结余</w:t>
            </w: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26</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3,857.04</w:t>
            </w: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年末结转和结余</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53</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1,788.31</w:t>
            </w:r>
          </w:p>
        </w:tc>
      </w:tr>
      <w:tr>
        <w:tblPrEx>
          <w:tblCellMar>
            <w:top w:w="0" w:type="dxa"/>
            <w:left w:w="0" w:type="dxa"/>
            <w:bottom w:w="0" w:type="dxa"/>
            <w:right w:w="0" w:type="dxa"/>
          </w:tblCellMar>
        </w:tblPrEx>
        <w:trPr>
          <w:trHeight w:val="337" w:hRule="atLeast"/>
          <w:jc w:val="center"/>
        </w:trPr>
        <w:tc>
          <w:tcPr>
            <w:tcW w:w="315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b/>
                <w:color w:val="000000"/>
                <w:sz w:val="20"/>
                <w:szCs w:val="20"/>
              </w:rPr>
            </w:pPr>
            <w:r>
              <w:rPr>
                <w:rFonts w:hint="eastAsia" w:ascii="宋体" w:hAnsi="宋体" w:eastAsia="宋体" w:cs="宋体"/>
                <w:b/>
                <w:i w:val="0"/>
                <w:color w:val="000000"/>
                <w:kern w:val="0"/>
                <w:sz w:val="22"/>
                <w:szCs w:val="22"/>
                <w:u w:val="none"/>
                <w:lang w:val="en-US" w:eastAsia="zh-CN" w:bidi="ar"/>
              </w:rPr>
              <w:t>总计</w:t>
            </w:r>
          </w:p>
        </w:tc>
        <w:tc>
          <w:tcPr>
            <w:tcW w:w="4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27</w:t>
            </w:r>
          </w:p>
        </w:tc>
        <w:tc>
          <w:tcPr>
            <w:tcW w:w="9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11,656.96</w:t>
            </w:r>
          </w:p>
        </w:tc>
        <w:tc>
          <w:tcPr>
            <w:tcW w:w="28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b/>
                <w:color w:val="000000"/>
                <w:sz w:val="20"/>
                <w:szCs w:val="20"/>
              </w:rPr>
            </w:pPr>
            <w:r>
              <w:rPr>
                <w:rFonts w:hint="eastAsia" w:ascii="宋体" w:hAnsi="宋体" w:eastAsia="宋体" w:cs="宋体"/>
                <w:b/>
                <w:i w:val="0"/>
                <w:color w:val="000000"/>
                <w:kern w:val="0"/>
                <w:sz w:val="22"/>
                <w:szCs w:val="22"/>
                <w:u w:val="none"/>
                <w:lang w:val="en-US" w:eastAsia="zh-CN" w:bidi="ar"/>
              </w:rPr>
              <w:t>总计</w:t>
            </w:r>
          </w:p>
        </w:tc>
        <w:tc>
          <w:tcPr>
            <w:tcW w:w="4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54</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11,656.96</w:t>
            </w:r>
          </w:p>
        </w:tc>
      </w:tr>
      <w:tr>
        <w:tblPrEx>
          <w:tblCellMar>
            <w:top w:w="0" w:type="dxa"/>
            <w:left w:w="0" w:type="dxa"/>
            <w:bottom w:w="0" w:type="dxa"/>
            <w:right w:w="0" w:type="dxa"/>
          </w:tblCellMar>
        </w:tblPrEx>
        <w:trPr>
          <w:trHeight w:val="417" w:hRule="atLeast"/>
          <w:jc w:val="center"/>
        </w:trPr>
        <w:tc>
          <w:tcPr>
            <w:tcW w:w="9300" w:type="dxa"/>
            <w:gridSpan w:val="10"/>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335"/>
        <w:gridCol w:w="179"/>
        <w:gridCol w:w="520"/>
        <w:gridCol w:w="266"/>
        <w:gridCol w:w="1052"/>
        <w:gridCol w:w="533"/>
        <w:gridCol w:w="260"/>
        <w:gridCol w:w="127"/>
        <w:gridCol w:w="688"/>
        <w:gridCol w:w="232"/>
        <w:gridCol w:w="584"/>
        <w:gridCol w:w="337"/>
        <w:gridCol w:w="478"/>
        <w:gridCol w:w="442"/>
        <w:gridCol w:w="373"/>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8"/>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CellMar>
            <w:top w:w="0" w:type="dxa"/>
            <w:left w:w="0" w:type="dxa"/>
            <w:bottom w:w="0" w:type="dxa"/>
            <w:right w:w="0" w:type="dxa"/>
          </w:tblCellMar>
        </w:tblPrEx>
        <w:trPr>
          <w:trHeight w:val="362" w:hRule="atLeast"/>
          <w:jc w:val="center"/>
        </w:trPr>
        <w:tc>
          <w:tcPr>
            <w:tcW w:w="2885"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eastAsia="宋体" w:cs="宋体"/>
                <w:i w:val="0"/>
                <w:color w:val="000000"/>
                <w:kern w:val="0"/>
                <w:sz w:val="20"/>
                <w:szCs w:val="20"/>
                <w:u w:val="none"/>
                <w:lang w:val="en-US" w:eastAsia="zh-CN" w:bidi="ar"/>
              </w:rPr>
              <w:t>廊坊市霸州市农业局（本级）</w:t>
            </w: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352" w:type="dxa"/>
            <w:gridSpan w:val="5"/>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本年收入合计</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财政拨款收入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上级补助收入</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事业收入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经营收入</w:t>
            </w:r>
          </w:p>
        </w:tc>
        <w:tc>
          <w:tcPr>
            <w:tcW w:w="92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附属单位上缴收入</w:t>
            </w:r>
          </w:p>
        </w:tc>
        <w:tc>
          <w:tcPr>
            <w:tcW w:w="926"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626" w:hRule="atLeast"/>
          <w:jc w:val="center"/>
        </w:trPr>
        <w:tc>
          <w:tcPr>
            <w:tcW w:w="130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功能分类科目编码</w:t>
            </w:r>
          </w:p>
        </w:tc>
        <w:tc>
          <w:tcPr>
            <w:tcW w:w="105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352"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栏次</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1</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2</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90" w:hRule="atLeast"/>
          <w:jc w:val="center"/>
        </w:trPr>
        <w:tc>
          <w:tcPr>
            <w:tcW w:w="2352"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合计</w:t>
            </w:r>
          </w:p>
        </w:tc>
        <w:tc>
          <w:tcPr>
            <w:tcW w:w="92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 w:val="18"/>
                <w:szCs w:val="18"/>
              </w:rPr>
            </w:pPr>
            <w:r>
              <w:rPr>
                <w:rFonts w:hint="eastAsia" w:ascii="宋体" w:hAnsi="宋体" w:eastAsia="宋体" w:cs="宋体"/>
                <w:b/>
                <w:i w:val="0"/>
                <w:color w:val="000000"/>
                <w:kern w:val="0"/>
                <w:sz w:val="22"/>
                <w:szCs w:val="22"/>
                <w:u w:val="none"/>
                <w:lang w:val="en-US" w:eastAsia="zh-CN" w:bidi="ar"/>
              </w:rPr>
              <w:t xml:space="preserve">7799.92 </w:t>
            </w: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 w:val="18"/>
                <w:szCs w:val="18"/>
              </w:rPr>
            </w:pPr>
            <w:r>
              <w:rPr>
                <w:rFonts w:hint="eastAsia" w:ascii="宋体" w:hAnsi="宋体" w:eastAsia="宋体" w:cs="宋体"/>
                <w:b/>
                <w:i w:val="0"/>
                <w:color w:val="000000"/>
                <w:kern w:val="0"/>
                <w:sz w:val="22"/>
                <w:szCs w:val="22"/>
                <w:u w:val="none"/>
                <w:lang w:val="en-US" w:eastAsia="zh-CN" w:bidi="ar"/>
              </w:rPr>
              <w:t xml:space="preserve">5787.21 </w:t>
            </w: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18"/>
                <w:szCs w:val="18"/>
              </w:rPr>
            </w:pPr>
          </w:p>
        </w:tc>
        <w:tc>
          <w:tcPr>
            <w:tcW w:w="9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18"/>
                <w:szCs w:val="18"/>
              </w:rPr>
            </w:pPr>
          </w:p>
        </w:tc>
        <w:tc>
          <w:tcPr>
            <w:tcW w:w="9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 w:val="18"/>
                <w:szCs w:val="18"/>
              </w:rPr>
            </w:pPr>
            <w:r>
              <w:rPr>
                <w:rFonts w:hint="eastAsia" w:ascii="宋体" w:hAnsi="宋体" w:eastAsia="宋体" w:cs="宋体"/>
                <w:b/>
                <w:i w:val="0"/>
                <w:color w:val="000000"/>
                <w:kern w:val="0"/>
                <w:sz w:val="22"/>
                <w:szCs w:val="22"/>
                <w:u w:val="none"/>
                <w:lang w:val="en-US" w:eastAsia="zh-CN" w:bidi="ar"/>
              </w:rPr>
              <w:t xml:space="preserve">2012.71 </w:t>
            </w:r>
          </w:p>
        </w:tc>
      </w:tr>
      <w:tr>
        <w:tblPrEx>
          <w:tblCellMar>
            <w:top w:w="0" w:type="dxa"/>
            <w:left w:w="0" w:type="dxa"/>
            <w:bottom w:w="0" w:type="dxa"/>
            <w:right w:w="0" w:type="dxa"/>
          </w:tblCellMar>
        </w:tblPrEx>
        <w:trPr>
          <w:trHeight w:val="371" w:hRule="atLeast"/>
          <w:jc w:val="center"/>
        </w:trPr>
        <w:tc>
          <w:tcPr>
            <w:tcW w:w="1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211</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节能环保支出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3006.28 </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1006.50 </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1999.78 </w:t>
            </w:r>
          </w:p>
        </w:tc>
      </w:tr>
      <w:tr>
        <w:tblPrEx>
          <w:tblCellMar>
            <w:top w:w="0" w:type="dxa"/>
            <w:left w:w="0" w:type="dxa"/>
            <w:bottom w:w="0" w:type="dxa"/>
            <w:right w:w="0" w:type="dxa"/>
          </w:tblCellMar>
        </w:tblPrEx>
        <w:trPr>
          <w:trHeight w:val="371" w:hRule="atLeast"/>
          <w:jc w:val="center"/>
        </w:trPr>
        <w:tc>
          <w:tcPr>
            <w:tcW w:w="1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21103</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污染防治</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3006.28 </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1006.50 </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1999.78 </w:t>
            </w:r>
          </w:p>
        </w:tc>
      </w:tr>
      <w:tr>
        <w:tblPrEx>
          <w:tblCellMar>
            <w:top w:w="0" w:type="dxa"/>
            <w:left w:w="0" w:type="dxa"/>
            <w:bottom w:w="0" w:type="dxa"/>
            <w:right w:w="0" w:type="dxa"/>
          </w:tblCellMar>
        </w:tblPrEx>
        <w:trPr>
          <w:trHeight w:val="371" w:hRule="atLeast"/>
          <w:jc w:val="center"/>
        </w:trPr>
        <w:tc>
          <w:tcPr>
            <w:tcW w:w="1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2110301</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大气</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3006.28 </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1006.50 </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1999.78 </w:t>
            </w:r>
          </w:p>
        </w:tc>
      </w:tr>
      <w:tr>
        <w:tblPrEx>
          <w:tblCellMar>
            <w:top w:w="0" w:type="dxa"/>
            <w:left w:w="0" w:type="dxa"/>
            <w:bottom w:w="0" w:type="dxa"/>
            <w:right w:w="0" w:type="dxa"/>
          </w:tblCellMar>
        </w:tblPrEx>
        <w:trPr>
          <w:trHeight w:val="371" w:hRule="atLeast"/>
          <w:jc w:val="center"/>
        </w:trPr>
        <w:tc>
          <w:tcPr>
            <w:tcW w:w="1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农林水支出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4793.64 </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4780.71 </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12.93 </w:t>
            </w:r>
          </w:p>
        </w:tc>
      </w:tr>
      <w:tr>
        <w:tblPrEx>
          <w:tblCellMar>
            <w:top w:w="0" w:type="dxa"/>
            <w:left w:w="0" w:type="dxa"/>
            <w:bottom w:w="0" w:type="dxa"/>
            <w:right w:w="0" w:type="dxa"/>
          </w:tblCellMar>
        </w:tblPrEx>
        <w:trPr>
          <w:trHeight w:val="371" w:hRule="atLeast"/>
          <w:jc w:val="center"/>
        </w:trPr>
        <w:tc>
          <w:tcPr>
            <w:tcW w:w="1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农业</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4551.27 </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4538.33 </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12.93 </w:t>
            </w:r>
          </w:p>
        </w:tc>
      </w:tr>
      <w:tr>
        <w:tblPrEx>
          <w:tblCellMar>
            <w:top w:w="0" w:type="dxa"/>
            <w:left w:w="0" w:type="dxa"/>
            <w:bottom w:w="0" w:type="dxa"/>
            <w:right w:w="0" w:type="dxa"/>
          </w:tblCellMar>
        </w:tblPrEx>
        <w:trPr>
          <w:trHeight w:val="371" w:hRule="atLeast"/>
          <w:jc w:val="center"/>
        </w:trPr>
        <w:tc>
          <w:tcPr>
            <w:tcW w:w="1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2130101</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1148.68 </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1148.68 </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2130109</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农产品质量安全</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14.79 </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14.79 </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2130111</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统计监测与信息服务</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57.95 </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57.95 </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2130112</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农业行业业务管理</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69.76 </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69.76 </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2130121</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农业结构调整补贴</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1000.00 </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1000.00 </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2130122</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农业生产支持补贴</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1497.00 </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1497.00 </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2130124</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农业组织化与产业化经营</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42.80 </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42.80 </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2130135</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农业资源保护修复与利用</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6.00 </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6.00 </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2130199</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其他农业支出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714.28 </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7013.48 </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12.93 </w:t>
            </w:r>
          </w:p>
        </w:tc>
      </w:tr>
      <w:tr>
        <w:tblPrEx>
          <w:tblCellMar>
            <w:top w:w="0" w:type="dxa"/>
            <w:left w:w="0" w:type="dxa"/>
            <w:bottom w:w="0" w:type="dxa"/>
            <w:right w:w="0" w:type="dxa"/>
          </w:tblCellMar>
        </w:tblPrEx>
        <w:trPr>
          <w:trHeight w:val="371" w:hRule="atLeast"/>
          <w:jc w:val="center"/>
        </w:trPr>
        <w:tc>
          <w:tcPr>
            <w:tcW w:w="1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21305</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扶贫</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235.37 </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235.37 </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2130599</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其他扶贫支出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235.37 </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235.37 </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21399</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其他农林水支出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7.00 </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7.00 </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30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2139999</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7.00 </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7.00 </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81" w:hRule="atLeast"/>
          <w:jc w:val="center"/>
        </w:trPr>
        <w:tc>
          <w:tcPr>
            <w:tcW w:w="8800" w:type="dxa"/>
            <w:gridSpan w:val="18"/>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000" w:type="dxa"/>
        <w:tblInd w:w="0" w:type="dxa"/>
        <w:tblLayout w:type="fixed"/>
        <w:tblCellMar>
          <w:top w:w="0" w:type="dxa"/>
          <w:left w:w="0" w:type="dxa"/>
          <w:bottom w:w="0" w:type="dxa"/>
          <w:right w:w="0" w:type="dxa"/>
        </w:tblCellMar>
      </w:tblPr>
      <w:tblGrid>
        <w:gridCol w:w="290"/>
        <w:gridCol w:w="289"/>
        <w:gridCol w:w="802"/>
        <w:gridCol w:w="1"/>
        <w:gridCol w:w="1117"/>
        <w:gridCol w:w="647"/>
        <w:gridCol w:w="436"/>
        <w:gridCol w:w="682"/>
        <w:gridCol w:w="402"/>
        <w:gridCol w:w="718"/>
        <w:gridCol w:w="365"/>
        <w:gridCol w:w="753"/>
        <w:gridCol w:w="331"/>
        <w:gridCol w:w="789"/>
        <w:gridCol w:w="294"/>
        <w:gridCol w:w="1084"/>
      </w:tblGrid>
      <w:tr>
        <w:tblPrEx>
          <w:tblCellMar>
            <w:top w:w="0" w:type="dxa"/>
            <w:left w:w="0" w:type="dxa"/>
            <w:bottom w:w="0" w:type="dxa"/>
            <w:right w:w="0" w:type="dxa"/>
          </w:tblCellMar>
        </w:tblPrEx>
        <w:trPr>
          <w:trHeight w:val="798" w:hRule="atLeast"/>
        </w:trPr>
        <w:tc>
          <w:tcPr>
            <w:tcW w:w="9000" w:type="dxa"/>
            <w:gridSpan w:val="1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trHeight w:val="380" w:hRule="atLeast"/>
        </w:trPr>
        <w:tc>
          <w:tcPr>
            <w:tcW w:w="3146"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eastAsia="宋体" w:cs="宋体"/>
                <w:i w:val="0"/>
                <w:color w:val="000000"/>
                <w:kern w:val="0"/>
                <w:sz w:val="20"/>
                <w:szCs w:val="20"/>
                <w:u w:val="none"/>
                <w:lang w:val="en-US" w:eastAsia="zh-CN" w:bidi="ar"/>
              </w:rPr>
              <w:t>廊坊市霸州市农业局（本级）</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49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项目</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本年支出合计</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基本支出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项目支出</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上缴上级支出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经营支出</w:t>
            </w:r>
          </w:p>
        </w:tc>
        <w:tc>
          <w:tcPr>
            <w:tcW w:w="108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782" w:hRule="atLeast"/>
        </w:trPr>
        <w:tc>
          <w:tcPr>
            <w:tcW w:w="138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功能分类科目编码</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科目名称</w:t>
            </w: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08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95" w:hRule="atLeast"/>
        </w:trPr>
        <w:tc>
          <w:tcPr>
            <w:tcW w:w="2499"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栏次</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440" w:hRule="atLeast"/>
        </w:trPr>
        <w:tc>
          <w:tcPr>
            <w:tcW w:w="2499"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合计</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b/>
                <w:i w:val="0"/>
                <w:color w:val="000000"/>
                <w:kern w:val="0"/>
                <w:sz w:val="22"/>
                <w:szCs w:val="22"/>
                <w:u w:val="none"/>
                <w:lang w:val="en-US" w:eastAsia="zh-CN" w:bidi="ar"/>
              </w:rPr>
              <w:t>9,868.66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b/>
                <w:i w:val="0"/>
                <w:color w:val="000000"/>
                <w:kern w:val="0"/>
                <w:sz w:val="22"/>
                <w:szCs w:val="22"/>
                <w:u w:val="none"/>
                <w:lang w:val="en-US" w:eastAsia="zh-CN" w:bidi="ar"/>
              </w:rPr>
              <w:t>1,120.58</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b/>
                <w:i w:val="0"/>
                <w:color w:val="000000"/>
                <w:kern w:val="0"/>
                <w:sz w:val="22"/>
                <w:szCs w:val="22"/>
                <w:u w:val="none"/>
                <w:lang w:val="en-US" w:eastAsia="zh-CN" w:bidi="ar"/>
              </w:rPr>
              <w:t>8,748.08</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Cs w:val="21"/>
              </w:rPr>
            </w:pPr>
          </w:p>
        </w:tc>
      </w:tr>
      <w:tr>
        <w:tblPrEx>
          <w:tblCellMar>
            <w:top w:w="0" w:type="dxa"/>
            <w:left w:w="0" w:type="dxa"/>
            <w:bottom w:w="0" w:type="dxa"/>
            <w:right w:w="0" w:type="dxa"/>
          </w:tblCellMar>
        </w:tblPrEx>
        <w:trPr>
          <w:trHeight w:val="46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211</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节能环保支出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5,675.09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5,675.09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21103</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污染防治</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5,675.09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5,675.09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2110301</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大气</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5,675.09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5,675.09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农林水支出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4,193.56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1,120.58</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3,072.99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农业</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3,950.45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1,120.58</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2,829.88</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2130101</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1,120.58</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1,120.58</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2130108</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病虫害控制</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0.35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0.35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2130109</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农产品质量安全</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14.79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14.79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2130111</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统计监测与信息服务</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17.95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17.95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2130112</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农业行业业务管理</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69.76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69.76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2130121</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农业结构调整补贴</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1,001.98</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1,001.98</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2130122</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农业生产支持补贴</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990.00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990.00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2130124</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农业组织化与产业化经营</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42.80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42.80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2130199</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其他农业支出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692.25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692.25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21305</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扶贫</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235.37</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235.37</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2130599</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其他扶贫支出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235.37</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235.37</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21399</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其他农林水支出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7.73</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7.73</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2139999</w:t>
            </w:r>
          </w:p>
        </w:tc>
        <w:tc>
          <w:tcPr>
            <w:tcW w:w="11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7.73</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7.73</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748" w:hRule="atLeast"/>
        </w:trPr>
        <w:tc>
          <w:tcPr>
            <w:tcW w:w="9000" w:type="dxa"/>
            <w:gridSpan w:val="1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224"/>
        <w:gridCol w:w="276"/>
        <w:gridCol w:w="245"/>
        <w:gridCol w:w="325"/>
        <w:gridCol w:w="2250"/>
        <w:gridCol w:w="357"/>
        <w:gridCol w:w="367"/>
        <w:gridCol w:w="311"/>
        <w:gridCol w:w="240"/>
        <w:gridCol w:w="497"/>
        <w:gridCol w:w="153"/>
        <w:gridCol w:w="825"/>
        <w:gridCol w:w="1153"/>
      </w:tblGrid>
      <w:tr>
        <w:tblPrEx>
          <w:tblCellMar>
            <w:top w:w="0" w:type="dxa"/>
            <w:left w:w="0" w:type="dxa"/>
            <w:bottom w:w="0" w:type="dxa"/>
            <w:right w:w="0" w:type="dxa"/>
          </w:tblCellMar>
        </w:tblPrEx>
        <w:trPr>
          <w:trHeight w:val="152" w:hRule="atLeast"/>
        </w:trPr>
        <w:tc>
          <w:tcPr>
            <w:tcW w:w="8940" w:type="dxa"/>
            <w:gridSpan w:val="1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1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eastAsia="宋体" w:cs="宋体"/>
                <w:i w:val="0"/>
                <w:color w:val="000000"/>
                <w:kern w:val="0"/>
                <w:sz w:val="20"/>
                <w:szCs w:val="20"/>
                <w:u w:val="none"/>
                <w:lang w:val="en-US" w:eastAsia="zh-CN" w:bidi="ar"/>
              </w:rPr>
              <w:t>廊坊市霸州市农业局（本级）</w:t>
            </w:r>
          </w:p>
        </w:tc>
        <w:tc>
          <w:tcPr>
            <w:tcW w:w="65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170" w:hRule="atLeast"/>
        </w:trPr>
        <w:tc>
          <w:tcPr>
            <w:tcW w:w="194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项目</w:t>
            </w:r>
          </w:p>
        </w:tc>
        <w:tc>
          <w:tcPr>
            <w:tcW w:w="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行次</w:t>
            </w:r>
          </w:p>
        </w:tc>
        <w:tc>
          <w:tcPr>
            <w:tcW w:w="57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金额</w:t>
            </w:r>
          </w:p>
        </w:tc>
        <w:tc>
          <w:tcPr>
            <w:tcW w:w="22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项目</w:t>
            </w:r>
          </w:p>
        </w:tc>
        <w:tc>
          <w:tcPr>
            <w:tcW w:w="3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行次</w:t>
            </w:r>
          </w:p>
        </w:tc>
        <w:tc>
          <w:tcPr>
            <w:tcW w:w="67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合计</w:t>
            </w: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一般公共预算财政拨款</w:t>
            </w:r>
          </w:p>
        </w:tc>
        <w:tc>
          <w:tcPr>
            <w:tcW w:w="213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栏次</w:t>
            </w: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1</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栏次</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2</w:t>
            </w: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w:t>
            </w: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120" w:hRule="atLeast"/>
        </w:trPr>
        <w:tc>
          <w:tcPr>
            <w:tcW w:w="194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一、一般公共预算财政拨款</w:t>
            </w:r>
          </w:p>
        </w:tc>
        <w:tc>
          <w:tcPr>
            <w:tcW w:w="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5,787.21</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一、一般公共服务支出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29</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194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二、政府性基金预算财政拨款</w:t>
            </w:r>
          </w:p>
        </w:tc>
        <w:tc>
          <w:tcPr>
            <w:tcW w:w="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二、外交支出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30</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三、国防支出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31</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四、公共安全支出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32</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五、教育支出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33</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6</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六、科学技术支出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34</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7</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七、文化体育与传媒支出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35</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8</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八、社会保障和就业支出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36</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9</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九、医疗卫生与计划生育支出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37</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10</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十、节能环保支出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38</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3,675.31</w:t>
            </w: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3,675.31</w:t>
            </w: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11</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十一、城乡社区支出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39</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12</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十二、农林水支出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40</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4,174.32</w:t>
            </w: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4,174.32</w:t>
            </w: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13</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十三、交通运输支出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41</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14</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十四、资源勘探信息等支出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42</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15</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十五、商业服务业等支出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43</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16</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十六、金融支出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44</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17</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十七、援助其他地区支出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45</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18</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十八、国土海洋气象等支出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46</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19</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十九、住房保障支出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47</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20</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二十、粮油物资储备支出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48</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21</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二十一、其他支出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49</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22</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二十二、债务还本支出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50</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7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23</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二十三、债务付息支出</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51</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b/>
                <w:color w:val="000000"/>
                <w:sz w:val="18"/>
                <w:szCs w:val="18"/>
              </w:rPr>
            </w:pPr>
            <w:r>
              <w:rPr>
                <w:rFonts w:hint="eastAsia" w:ascii="宋体" w:hAnsi="宋体" w:eastAsia="宋体" w:cs="宋体"/>
                <w:b/>
                <w:i w:val="0"/>
                <w:color w:val="000000"/>
                <w:kern w:val="0"/>
                <w:sz w:val="22"/>
                <w:szCs w:val="22"/>
                <w:u w:val="none"/>
                <w:lang w:val="en-US" w:eastAsia="zh-CN" w:bidi="ar"/>
              </w:rPr>
              <w:t>本年收入合计</w:t>
            </w:r>
          </w:p>
        </w:tc>
        <w:tc>
          <w:tcPr>
            <w:tcW w:w="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24</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5,787.21</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b/>
                <w:i w:val="0"/>
                <w:color w:val="000000"/>
                <w:kern w:val="0"/>
                <w:sz w:val="22"/>
                <w:szCs w:val="22"/>
                <w:u w:val="none"/>
                <w:lang w:val="en-US" w:eastAsia="zh-CN" w:bidi="ar"/>
              </w:rPr>
              <w:t>本年支出合计</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b/>
                <w:color w:val="000000"/>
                <w:sz w:val="18"/>
                <w:szCs w:val="18"/>
              </w:rPr>
            </w:pPr>
            <w:r>
              <w:rPr>
                <w:rFonts w:hint="eastAsia" w:ascii="宋体" w:hAnsi="宋体" w:eastAsia="宋体" w:cs="宋体"/>
                <w:i w:val="0"/>
                <w:color w:val="000000"/>
                <w:kern w:val="0"/>
                <w:sz w:val="22"/>
                <w:szCs w:val="22"/>
                <w:u w:val="none"/>
                <w:lang w:val="en-US" w:eastAsia="zh-CN" w:bidi="ar"/>
              </w:rPr>
              <w:t>52</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7,849.63</w:t>
            </w: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7,849.63</w:t>
            </w: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194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年初财政拨款结转和结余</w:t>
            </w:r>
          </w:p>
        </w:tc>
        <w:tc>
          <w:tcPr>
            <w:tcW w:w="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25</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3,837.80</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年末财政拨款结转和结余</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53</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1,775.38</w:t>
            </w: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1,775.38</w:t>
            </w: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194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26</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3,837.80</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54</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194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27</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55</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194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b/>
                <w:color w:val="000000"/>
                <w:sz w:val="18"/>
                <w:szCs w:val="18"/>
              </w:rPr>
            </w:pPr>
            <w:r>
              <w:rPr>
                <w:rFonts w:hint="eastAsia" w:ascii="宋体" w:hAnsi="宋体" w:eastAsia="宋体" w:cs="宋体"/>
                <w:b/>
                <w:i w:val="0"/>
                <w:color w:val="000000"/>
                <w:kern w:val="0"/>
                <w:sz w:val="22"/>
                <w:szCs w:val="22"/>
                <w:u w:val="none"/>
                <w:lang w:val="en-US" w:eastAsia="zh-CN" w:bidi="ar"/>
              </w:rPr>
              <w:t>总计</w:t>
            </w:r>
          </w:p>
        </w:tc>
        <w:tc>
          <w:tcPr>
            <w:tcW w:w="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28</w:t>
            </w:r>
          </w:p>
        </w:tc>
        <w:tc>
          <w:tcPr>
            <w:tcW w:w="57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9,625.00</w:t>
            </w:r>
          </w:p>
        </w:tc>
        <w:tc>
          <w:tcPr>
            <w:tcW w:w="2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b/>
                <w:i w:val="0"/>
                <w:color w:val="000000"/>
                <w:kern w:val="0"/>
                <w:sz w:val="22"/>
                <w:szCs w:val="22"/>
                <w:u w:val="none"/>
                <w:lang w:val="en-US" w:eastAsia="zh-CN" w:bidi="ar"/>
              </w:rPr>
              <w:t>总计</w:t>
            </w:r>
          </w:p>
        </w:tc>
        <w:tc>
          <w:tcPr>
            <w:tcW w:w="3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b/>
                <w:color w:val="000000"/>
                <w:sz w:val="18"/>
                <w:szCs w:val="18"/>
              </w:rPr>
            </w:pPr>
            <w:r>
              <w:rPr>
                <w:rFonts w:hint="eastAsia" w:ascii="宋体" w:hAnsi="宋体" w:eastAsia="宋体" w:cs="宋体"/>
                <w:i w:val="0"/>
                <w:color w:val="000000"/>
                <w:kern w:val="0"/>
                <w:sz w:val="22"/>
                <w:szCs w:val="22"/>
                <w:u w:val="none"/>
                <w:lang w:val="en-US" w:eastAsia="zh-CN" w:bidi="ar"/>
              </w:rPr>
              <w:t>56</w:t>
            </w:r>
          </w:p>
        </w:tc>
        <w:tc>
          <w:tcPr>
            <w:tcW w:w="67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9,625.00</w:t>
            </w:r>
          </w:p>
        </w:tc>
        <w:tc>
          <w:tcPr>
            <w:tcW w:w="73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9,625.00</w:t>
            </w:r>
          </w:p>
        </w:tc>
        <w:tc>
          <w:tcPr>
            <w:tcW w:w="213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155" w:hRule="atLeast"/>
        </w:trPr>
        <w:tc>
          <w:tcPr>
            <w:tcW w:w="8940" w:type="dxa"/>
            <w:gridSpan w:val="1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317"/>
        <w:gridCol w:w="319"/>
        <w:gridCol w:w="357"/>
        <w:gridCol w:w="1153"/>
        <w:gridCol w:w="956"/>
        <w:gridCol w:w="745"/>
        <w:gridCol w:w="707"/>
        <w:gridCol w:w="1185"/>
        <w:gridCol w:w="267"/>
        <w:gridCol w:w="2854"/>
      </w:tblGrid>
      <w:tr>
        <w:tblPrEx>
          <w:tblCellMar>
            <w:top w:w="0" w:type="dxa"/>
            <w:left w:w="0" w:type="dxa"/>
            <w:bottom w:w="0" w:type="dxa"/>
            <w:right w:w="0" w:type="dxa"/>
          </w:tblCellMar>
        </w:tblPrEx>
        <w:trPr>
          <w:trHeight w:val="600" w:hRule="atLeast"/>
        </w:trPr>
        <w:tc>
          <w:tcPr>
            <w:tcW w:w="8860" w:type="dxa"/>
            <w:gridSpan w:val="10"/>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3847"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eastAsia="宋体" w:cs="宋体"/>
                <w:i w:val="0"/>
                <w:color w:val="000000"/>
                <w:kern w:val="0"/>
                <w:sz w:val="20"/>
                <w:szCs w:val="20"/>
                <w:u w:val="none"/>
                <w:lang w:val="en-US" w:eastAsia="zh-CN" w:bidi="ar"/>
              </w:rPr>
              <w:t>廊坊市霸州市农业局（本级）</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项目</w:t>
            </w:r>
          </w:p>
        </w:tc>
        <w:tc>
          <w:tcPr>
            <w:tcW w:w="57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34" w:hRule="atLeast"/>
        </w:trPr>
        <w:tc>
          <w:tcPr>
            <w:tcW w:w="2146" w:type="dxa"/>
            <w:gridSpan w:val="4"/>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功能分类科目编码</w:t>
            </w:r>
          </w:p>
        </w:tc>
        <w:tc>
          <w:tcPr>
            <w:tcW w:w="95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科目名称</w:t>
            </w:r>
          </w:p>
        </w:tc>
        <w:tc>
          <w:tcPr>
            <w:tcW w:w="1452"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小计</w:t>
            </w:r>
          </w:p>
        </w:tc>
        <w:tc>
          <w:tcPr>
            <w:tcW w:w="1452"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基本支出</w:t>
            </w:r>
          </w:p>
        </w:tc>
        <w:tc>
          <w:tcPr>
            <w:tcW w:w="285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34" w:hRule="atLeast"/>
        </w:trPr>
        <w:tc>
          <w:tcPr>
            <w:tcW w:w="0" w:type="auto"/>
            <w:gridSpan w:val="4"/>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0" w:type="auto"/>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0" w:type="auto"/>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0" w:type="auto"/>
            <w:gridSpan w:val="4"/>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0" w:type="auto"/>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0" w:type="auto"/>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栏次</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w:t>
            </w:r>
          </w:p>
        </w:tc>
        <w:tc>
          <w:tcPr>
            <w:tcW w:w="28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68" w:hRule="atLeast"/>
        </w:trPr>
        <w:tc>
          <w:tcPr>
            <w:tcW w:w="3102"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合计</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b/>
                <w:i w:val="0"/>
                <w:color w:val="000000"/>
                <w:kern w:val="0"/>
                <w:sz w:val="22"/>
                <w:szCs w:val="22"/>
                <w:u w:val="none"/>
                <w:lang w:val="en-US" w:eastAsia="zh-CN" w:bidi="ar"/>
              </w:rPr>
              <w:t>7,849.63</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b/>
                <w:i w:val="0"/>
                <w:color w:val="000000"/>
                <w:kern w:val="0"/>
                <w:sz w:val="22"/>
                <w:szCs w:val="22"/>
                <w:u w:val="none"/>
                <w:lang w:val="en-US" w:eastAsia="zh-CN" w:bidi="ar"/>
              </w:rPr>
              <w:t>1,120.58</w:t>
            </w:r>
          </w:p>
        </w:tc>
        <w:tc>
          <w:tcPr>
            <w:tcW w:w="28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b/>
                <w:i w:val="0"/>
                <w:color w:val="000000"/>
                <w:kern w:val="0"/>
                <w:sz w:val="22"/>
                <w:szCs w:val="22"/>
                <w:u w:val="none"/>
                <w:lang w:val="en-US" w:eastAsia="zh-CN" w:bidi="ar"/>
              </w:rPr>
              <w:t>6,729.05</w:t>
            </w:r>
          </w:p>
        </w:tc>
      </w:tr>
      <w:tr>
        <w:tblPrEx>
          <w:tblCellMar>
            <w:top w:w="0" w:type="dxa"/>
            <w:left w:w="0" w:type="dxa"/>
            <w:bottom w:w="0" w:type="dxa"/>
            <w:right w:w="0" w:type="dxa"/>
          </w:tblCellMar>
        </w:tblPrEx>
        <w:trPr>
          <w:trHeight w:val="368" w:hRule="atLeast"/>
        </w:trPr>
        <w:tc>
          <w:tcPr>
            <w:tcW w:w="21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211</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节能环保支出</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3,675.31</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8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3,675.31</w:t>
            </w:r>
          </w:p>
        </w:tc>
      </w:tr>
      <w:tr>
        <w:tblPrEx>
          <w:tblCellMar>
            <w:top w:w="0" w:type="dxa"/>
            <w:left w:w="0" w:type="dxa"/>
            <w:bottom w:w="0" w:type="dxa"/>
            <w:right w:w="0" w:type="dxa"/>
          </w:tblCellMar>
        </w:tblPrEx>
        <w:trPr>
          <w:trHeight w:val="368" w:hRule="atLeast"/>
        </w:trPr>
        <w:tc>
          <w:tcPr>
            <w:tcW w:w="21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21103</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污染防治</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3,675.31</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8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3,675.31</w:t>
            </w:r>
          </w:p>
        </w:tc>
      </w:tr>
      <w:tr>
        <w:tblPrEx>
          <w:tblCellMar>
            <w:top w:w="0" w:type="dxa"/>
            <w:left w:w="0" w:type="dxa"/>
            <w:bottom w:w="0" w:type="dxa"/>
            <w:right w:w="0" w:type="dxa"/>
          </w:tblCellMar>
        </w:tblPrEx>
        <w:trPr>
          <w:trHeight w:val="368" w:hRule="atLeast"/>
        </w:trPr>
        <w:tc>
          <w:tcPr>
            <w:tcW w:w="21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2110301</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大气</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3,675.31</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8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3,675.31</w:t>
            </w:r>
          </w:p>
        </w:tc>
      </w:tr>
      <w:tr>
        <w:tblPrEx>
          <w:tblCellMar>
            <w:top w:w="0" w:type="dxa"/>
            <w:left w:w="0" w:type="dxa"/>
            <w:bottom w:w="0" w:type="dxa"/>
            <w:right w:w="0" w:type="dxa"/>
          </w:tblCellMar>
        </w:tblPrEx>
        <w:trPr>
          <w:trHeight w:val="368" w:hRule="atLeast"/>
        </w:trPr>
        <w:tc>
          <w:tcPr>
            <w:tcW w:w="21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农林水支出</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4,174.32</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1,120.58</w:t>
            </w:r>
          </w:p>
        </w:tc>
        <w:tc>
          <w:tcPr>
            <w:tcW w:w="28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3,053.74</w:t>
            </w:r>
          </w:p>
        </w:tc>
      </w:tr>
      <w:tr>
        <w:tblPrEx>
          <w:tblCellMar>
            <w:top w:w="0" w:type="dxa"/>
            <w:left w:w="0" w:type="dxa"/>
            <w:bottom w:w="0" w:type="dxa"/>
            <w:right w:w="0" w:type="dxa"/>
          </w:tblCellMar>
        </w:tblPrEx>
        <w:trPr>
          <w:trHeight w:val="368" w:hRule="atLeast"/>
        </w:trPr>
        <w:tc>
          <w:tcPr>
            <w:tcW w:w="21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农业</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3,931.21</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1,120.58</w:t>
            </w:r>
          </w:p>
        </w:tc>
        <w:tc>
          <w:tcPr>
            <w:tcW w:w="28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2,810.63</w:t>
            </w:r>
          </w:p>
        </w:tc>
      </w:tr>
      <w:tr>
        <w:tblPrEx>
          <w:tblCellMar>
            <w:top w:w="0" w:type="dxa"/>
            <w:left w:w="0" w:type="dxa"/>
            <w:bottom w:w="0" w:type="dxa"/>
            <w:right w:w="0" w:type="dxa"/>
          </w:tblCellMar>
        </w:tblPrEx>
        <w:trPr>
          <w:trHeight w:val="368" w:hRule="atLeast"/>
        </w:trPr>
        <w:tc>
          <w:tcPr>
            <w:tcW w:w="21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2130101</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1,120.58</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1,120.58</w:t>
            </w:r>
          </w:p>
        </w:tc>
        <w:tc>
          <w:tcPr>
            <w:tcW w:w="28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21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2130109</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农产品质量安全</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14.80</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8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14.79</w:t>
            </w:r>
          </w:p>
        </w:tc>
      </w:tr>
      <w:tr>
        <w:tblPrEx>
          <w:tblCellMar>
            <w:top w:w="0" w:type="dxa"/>
            <w:left w:w="0" w:type="dxa"/>
            <w:bottom w:w="0" w:type="dxa"/>
            <w:right w:w="0" w:type="dxa"/>
          </w:tblCellMar>
        </w:tblPrEx>
        <w:trPr>
          <w:trHeight w:val="368" w:hRule="atLeast"/>
        </w:trPr>
        <w:tc>
          <w:tcPr>
            <w:tcW w:w="21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2130111</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统计监测与信息服务</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17.95</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8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17.95</w:t>
            </w:r>
          </w:p>
        </w:tc>
      </w:tr>
      <w:tr>
        <w:tblPrEx>
          <w:tblCellMar>
            <w:top w:w="0" w:type="dxa"/>
            <w:left w:w="0" w:type="dxa"/>
            <w:bottom w:w="0" w:type="dxa"/>
            <w:right w:w="0" w:type="dxa"/>
          </w:tblCellMar>
        </w:tblPrEx>
        <w:trPr>
          <w:trHeight w:val="368" w:hRule="atLeast"/>
        </w:trPr>
        <w:tc>
          <w:tcPr>
            <w:tcW w:w="21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2130112</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农业行业业务管理</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69.76</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8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69.76</w:t>
            </w:r>
          </w:p>
        </w:tc>
      </w:tr>
      <w:tr>
        <w:tblPrEx>
          <w:tblCellMar>
            <w:top w:w="0" w:type="dxa"/>
            <w:left w:w="0" w:type="dxa"/>
            <w:bottom w:w="0" w:type="dxa"/>
            <w:right w:w="0" w:type="dxa"/>
          </w:tblCellMar>
        </w:tblPrEx>
        <w:trPr>
          <w:trHeight w:val="368" w:hRule="atLeast"/>
        </w:trPr>
        <w:tc>
          <w:tcPr>
            <w:tcW w:w="21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2130121</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农业结构调整补贴</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1,001.98</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8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100.20</w:t>
            </w:r>
          </w:p>
        </w:tc>
      </w:tr>
      <w:tr>
        <w:tblPrEx>
          <w:tblCellMar>
            <w:top w:w="0" w:type="dxa"/>
            <w:left w:w="0" w:type="dxa"/>
            <w:bottom w:w="0" w:type="dxa"/>
            <w:right w:w="0" w:type="dxa"/>
          </w:tblCellMar>
        </w:tblPrEx>
        <w:trPr>
          <w:trHeight w:val="368" w:hRule="atLeast"/>
        </w:trPr>
        <w:tc>
          <w:tcPr>
            <w:tcW w:w="21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2130122</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农业生产支持补贴</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990.00</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8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990.00</w:t>
            </w:r>
          </w:p>
        </w:tc>
      </w:tr>
      <w:tr>
        <w:tblPrEx>
          <w:tblCellMar>
            <w:top w:w="0" w:type="dxa"/>
            <w:left w:w="0" w:type="dxa"/>
            <w:bottom w:w="0" w:type="dxa"/>
            <w:right w:w="0" w:type="dxa"/>
          </w:tblCellMar>
        </w:tblPrEx>
        <w:trPr>
          <w:trHeight w:val="368" w:hRule="atLeast"/>
        </w:trPr>
        <w:tc>
          <w:tcPr>
            <w:tcW w:w="21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2130124</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农业组织化与产业化经营</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42.80</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8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42.80</w:t>
            </w:r>
          </w:p>
        </w:tc>
      </w:tr>
      <w:tr>
        <w:tblPrEx>
          <w:tblCellMar>
            <w:top w:w="0" w:type="dxa"/>
            <w:left w:w="0" w:type="dxa"/>
            <w:bottom w:w="0" w:type="dxa"/>
            <w:right w:w="0" w:type="dxa"/>
          </w:tblCellMar>
        </w:tblPrEx>
        <w:trPr>
          <w:trHeight w:val="368" w:hRule="atLeast"/>
        </w:trPr>
        <w:tc>
          <w:tcPr>
            <w:tcW w:w="21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2130199</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其他农业支出</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673.35</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8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673.35</w:t>
            </w:r>
          </w:p>
        </w:tc>
      </w:tr>
      <w:tr>
        <w:tblPrEx>
          <w:tblCellMar>
            <w:top w:w="0" w:type="dxa"/>
            <w:left w:w="0" w:type="dxa"/>
            <w:bottom w:w="0" w:type="dxa"/>
            <w:right w:w="0" w:type="dxa"/>
          </w:tblCellMar>
        </w:tblPrEx>
        <w:trPr>
          <w:trHeight w:val="368" w:hRule="atLeast"/>
        </w:trPr>
        <w:tc>
          <w:tcPr>
            <w:tcW w:w="21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21305</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扶贫</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235.37</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8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235.37</w:t>
            </w:r>
          </w:p>
        </w:tc>
      </w:tr>
      <w:tr>
        <w:tblPrEx>
          <w:tblCellMar>
            <w:top w:w="0" w:type="dxa"/>
            <w:left w:w="0" w:type="dxa"/>
            <w:bottom w:w="0" w:type="dxa"/>
            <w:right w:w="0" w:type="dxa"/>
          </w:tblCellMar>
        </w:tblPrEx>
        <w:trPr>
          <w:trHeight w:val="368" w:hRule="atLeast"/>
        </w:trPr>
        <w:tc>
          <w:tcPr>
            <w:tcW w:w="21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2130599</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其他扶贫支出</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235.37</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8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235.37</w:t>
            </w:r>
          </w:p>
        </w:tc>
      </w:tr>
      <w:tr>
        <w:tblPrEx>
          <w:tblCellMar>
            <w:top w:w="0" w:type="dxa"/>
            <w:left w:w="0" w:type="dxa"/>
            <w:bottom w:w="0" w:type="dxa"/>
            <w:right w:w="0" w:type="dxa"/>
          </w:tblCellMar>
        </w:tblPrEx>
        <w:trPr>
          <w:trHeight w:val="368" w:hRule="atLeast"/>
        </w:trPr>
        <w:tc>
          <w:tcPr>
            <w:tcW w:w="21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21399</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其他农林水支出</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7.73</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8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7.73</w:t>
            </w:r>
          </w:p>
        </w:tc>
      </w:tr>
      <w:tr>
        <w:tblPrEx>
          <w:tblCellMar>
            <w:top w:w="0" w:type="dxa"/>
            <w:left w:w="0" w:type="dxa"/>
            <w:bottom w:w="0" w:type="dxa"/>
            <w:right w:w="0" w:type="dxa"/>
          </w:tblCellMar>
        </w:tblPrEx>
        <w:trPr>
          <w:trHeight w:val="368" w:hRule="atLeast"/>
        </w:trPr>
        <w:tc>
          <w:tcPr>
            <w:tcW w:w="21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2139999</w:t>
            </w:r>
          </w:p>
        </w:tc>
        <w:tc>
          <w:tcPr>
            <w:tcW w:w="9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7.73</w:t>
            </w:r>
          </w:p>
        </w:tc>
        <w:tc>
          <w:tcPr>
            <w:tcW w:w="14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8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7.73</w:t>
            </w:r>
          </w:p>
        </w:tc>
      </w:tr>
      <w:tr>
        <w:tblPrEx>
          <w:tblCellMar>
            <w:top w:w="0" w:type="dxa"/>
            <w:left w:w="0" w:type="dxa"/>
            <w:bottom w:w="0" w:type="dxa"/>
            <w:right w:w="0" w:type="dxa"/>
          </w:tblCellMar>
        </w:tblPrEx>
        <w:trPr>
          <w:trHeight w:val="368" w:hRule="atLeast"/>
        </w:trPr>
        <w:tc>
          <w:tcPr>
            <w:tcW w:w="8860" w:type="dxa"/>
            <w:gridSpan w:val="1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735"/>
        <w:gridCol w:w="862"/>
        <w:gridCol w:w="472"/>
        <w:gridCol w:w="368"/>
        <w:gridCol w:w="373"/>
        <w:gridCol w:w="104"/>
        <w:gridCol w:w="1312"/>
        <w:gridCol w:w="442"/>
        <w:gridCol w:w="9"/>
        <w:gridCol w:w="364"/>
        <w:gridCol w:w="376"/>
        <w:gridCol w:w="560"/>
        <w:gridCol w:w="1733"/>
        <w:gridCol w:w="912"/>
      </w:tblGrid>
      <w:tr>
        <w:tblPrEx>
          <w:tblCellMar>
            <w:top w:w="0" w:type="dxa"/>
            <w:left w:w="0" w:type="dxa"/>
            <w:bottom w:w="0" w:type="dxa"/>
            <w:right w:w="0" w:type="dxa"/>
          </w:tblCellMar>
        </w:tblPrEx>
        <w:trPr>
          <w:trHeight w:val="526" w:hRule="atLeast"/>
          <w:jc w:val="center"/>
        </w:trPr>
        <w:tc>
          <w:tcPr>
            <w:tcW w:w="9180" w:type="dxa"/>
            <w:gridSpan w:val="15"/>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5" w:type="dxa"/>
            <w:gridSpan w:val="1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r>
              <w:rPr>
                <w:rFonts w:hint="eastAsia" w:ascii="宋体" w:hAnsi="宋体" w:eastAsia="宋体" w:cs="宋体"/>
                <w:i w:val="0"/>
                <w:color w:val="000000"/>
                <w:kern w:val="0"/>
                <w:sz w:val="20"/>
                <w:szCs w:val="20"/>
                <w:u w:val="none"/>
                <w:lang w:val="en-US" w:eastAsia="zh-CN" w:bidi="ar"/>
              </w:rPr>
              <w:t>廊坊市霸州市农业局（本级）</w:t>
            </w:r>
          </w:p>
        </w:tc>
        <w:tc>
          <w:tcPr>
            <w:tcW w:w="74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人员经费</w:t>
            </w:r>
          </w:p>
        </w:tc>
        <w:tc>
          <w:tcPr>
            <w:tcW w:w="6185" w:type="dxa"/>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12"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科目编码</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科目名称</w:t>
            </w:r>
          </w:p>
        </w:tc>
        <w:tc>
          <w:tcPr>
            <w:tcW w:w="3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决算数</w:t>
            </w:r>
          </w:p>
        </w:tc>
        <w:tc>
          <w:tcPr>
            <w:tcW w:w="3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科目编码</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科目名称</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决算数</w:t>
            </w:r>
          </w:p>
        </w:tc>
        <w:tc>
          <w:tcPr>
            <w:tcW w:w="37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科目编码</w:t>
            </w:r>
          </w:p>
        </w:tc>
        <w:tc>
          <w:tcPr>
            <w:tcW w:w="266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科目名称</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12"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301</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工资福利支出</w:t>
            </w:r>
          </w:p>
        </w:tc>
        <w:tc>
          <w:tcPr>
            <w:tcW w:w="3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931.52</w:t>
            </w:r>
          </w:p>
        </w:tc>
        <w:tc>
          <w:tcPr>
            <w:tcW w:w="3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302</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商品和服务支出</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103.95</w:t>
            </w:r>
          </w:p>
        </w:tc>
        <w:tc>
          <w:tcPr>
            <w:tcW w:w="37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307</w:t>
            </w:r>
          </w:p>
        </w:tc>
        <w:tc>
          <w:tcPr>
            <w:tcW w:w="2669"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债务利息及费用支出</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30101</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基本工资</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342.46</w:t>
            </w: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30201</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办公费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9.39</w:t>
            </w: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30701</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国内债务付息</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30102</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津贴补贴</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254.83</w:t>
            </w: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30202</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印刷费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0.54</w:t>
            </w: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30702</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国外债务付息</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30103</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奖金</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7.95</w:t>
            </w: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30203</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咨询费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310</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资本性支出</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1.40</w:t>
            </w: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30106</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伙食补助费</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6"/>
                <w:szCs w:val="16"/>
              </w:rPr>
            </w:pP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30204</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手续费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0.08</w:t>
            </w: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31001</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30107</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绩效工资</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10.39</w:t>
            </w: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30205</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水费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1.46</w:t>
            </w: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31002</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办公设备购置</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1.40</w:t>
            </w: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30108</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128.14</w:t>
            </w: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30206</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电费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4.67</w:t>
            </w: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31003</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专用设备购置</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30109</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职业年金缴费</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11.14</w:t>
            </w: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30207</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邮电费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38.95</w:t>
            </w: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31005</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基础设施建设</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30110</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44.80</w:t>
            </w: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30208</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取暖费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8.07</w:t>
            </w: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31006</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大型修缮</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30111</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6"/>
                <w:szCs w:val="16"/>
              </w:rPr>
            </w:pP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30209</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物业管理费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31007</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30112</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3.96</w:t>
            </w: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30211</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差旅费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0.84</w:t>
            </w: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31008</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物资储备</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30113</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住房公积金</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78.82</w:t>
            </w: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30212</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31009</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土地补偿</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30114</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医疗费</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6"/>
                <w:szCs w:val="16"/>
              </w:rPr>
            </w:pP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30213</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维修（护）费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0.37</w:t>
            </w: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31010</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安置补助</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30199</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49.02</w:t>
            </w: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30214</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租赁费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31011</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303</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对个人和家庭的补助</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83.71</w:t>
            </w: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30215</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会议费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31012</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拆迁补偿</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30301</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离休费</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6"/>
                <w:szCs w:val="16"/>
              </w:rPr>
            </w:pP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30216</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培训费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0.10</w:t>
            </w: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31013</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公务用车购置</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30302</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退休费</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6"/>
                <w:szCs w:val="16"/>
              </w:rPr>
            </w:pP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30217</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公务接待费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0.50</w:t>
            </w: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31019</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30303</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退职（役）费</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6"/>
                <w:szCs w:val="16"/>
              </w:rPr>
            </w:pP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30218</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专用材料费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0.76</w:t>
            </w: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31021</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30304</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抚恤金</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6"/>
                <w:szCs w:val="16"/>
              </w:rPr>
            </w:pP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30224</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被装购置费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31022</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无形资产购置</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30305</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生活补助</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w:t>
            </w: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30225</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专用燃料费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31099</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30306</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救济费</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6"/>
                <w:szCs w:val="16"/>
              </w:rPr>
            </w:pP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30226</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劳务费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4.78</w:t>
            </w: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399</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其他支出</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30307</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医疗费补助</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80.56</w:t>
            </w: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30227</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委托业务费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39906</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赠与</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30308</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助学金</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6"/>
                <w:szCs w:val="16"/>
              </w:rPr>
            </w:pP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30228</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工会经费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8.36</w:t>
            </w: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39907</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30309</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奖励金</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0.13</w:t>
            </w: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30229</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福利费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39908</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30310</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6"/>
                <w:szCs w:val="16"/>
              </w:rPr>
            </w:pP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30231</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7.50</w:t>
            </w: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39999</w:t>
            </w: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其他支出</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30399</w:t>
            </w: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6"/>
                <w:szCs w:val="16"/>
              </w:rPr>
            </w:pP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30239</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其他交通费用</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16.14</w:t>
            </w: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6"/>
                <w:szCs w:val="16"/>
              </w:rPr>
            </w:pP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6"/>
                <w:szCs w:val="16"/>
              </w:rPr>
            </w:pP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6"/>
                <w:szCs w:val="16"/>
              </w:rPr>
            </w:pP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6"/>
                <w:szCs w:val="16"/>
              </w:rPr>
            </w:pP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6"/>
                <w:szCs w:val="16"/>
              </w:rPr>
            </w:pP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30240</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pP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6"/>
                <w:szCs w:val="16"/>
              </w:rPr>
            </w:pP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6"/>
                <w:szCs w:val="16"/>
              </w:rPr>
            </w:pP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129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6"/>
                <w:szCs w:val="16"/>
              </w:rPr>
            </w:pPr>
          </w:p>
        </w:tc>
        <w:tc>
          <w:tcPr>
            <w:tcW w:w="133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6"/>
                <w:szCs w:val="16"/>
              </w:rPr>
            </w:pP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6"/>
                <w:szCs w:val="16"/>
              </w:rPr>
            </w:pPr>
          </w:p>
        </w:tc>
        <w:tc>
          <w:tcPr>
            <w:tcW w:w="37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30299</w:t>
            </w:r>
          </w:p>
        </w:tc>
        <w:tc>
          <w:tcPr>
            <w:tcW w:w="141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1.44</w:t>
            </w:r>
          </w:p>
        </w:tc>
        <w:tc>
          <w:tcPr>
            <w:tcW w:w="3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6"/>
                <w:szCs w:val="16"/>
              </w:rPr>
            </w:pPr>
          </w:p>
        </w:tc>
        <w:tc>
          <w:tcPr>
            <w:tcW w:w="266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6"/>
                <w:szCs w:val="16"/>
              </w:rPr>
            </w:pP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262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人员经费合计</w:t>
            </w:r>
          </w:p>
        </w:tc>
        <w:tc>
          <w:tcPr>
            <w:tcW w:w="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1,015.23</w:t>
            </w:r>
          </w:p>
        </w:tc>
        <w:tc>
          <w:tcPr>
            <w:tcW w:w="5273"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color w:val="000000"/>
                <w:kern w:val="0"/>
                <w:sz w:val="22"/>
                <w:szCs w:val="22"/>
                <w:u w:val="none"/>
                <w:lang w:val="en-US" w:eastAsia="zh-CN" w:bidi="ar"/>
              </w:rPr>
              <w:t>公用经费合计</w:t>
            </w:r>
          </w:p>
        </w:tc>
        <w:tc>
          <w:tcPr>
            <w:tcW w:w="9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105.34</w:t>
            </w:r>
          </w:p>
        </w:tc>
      </w:tr>
      <w:tr>
        <w:tblPrEx>
          <w:tblCellMar>
            <w:top w:w="0" w:type="dxa"/>
            <w:left w:w="0" w:type="dxa"/>
            <w:bottom w:w="0" w:type="dxa"/>
            <w:right w:w="0" w:type="dxa"/>
          </w:tblCellMar>
        </w:tblPrEx>
        <w:trPr>
          <w:trHeight w:val="277" w:hRule="atLeast"/>
          <w:jc w:val="center"/>
        </w:trPr>
        <w:tc>
          <w:tcPr>
            <w:tcW w:w="9180"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663"/>
        <w:gridCol w:w="495"/>
        <w:gridCol w:w="459"/>
        <w:gridCol w:w="663"/>
        <w:gridCol w:w="373"/>
        <w:gridCol w:w="32"/>
        <w:gridCol w:w="633"/>
        <w:gridCol w:w="895"/>
        <w:gridCol w:w="645"/>
        <w:gridCol w:w="885"/>
        <w:gridCol w:w="247"/>
        <w:gridCol w:w="788"/>
        <w:gridCol w:w="444"/>
        <w:gridCol w:w="51"/>
        <w:gridCol w:w="738"/>
        <w:gridCol w:w="789"/>
      </w:tblGrid>
      <w:tr>
        <w:tblPrEx>
          <w:tblCellMar>
            <w:top w:w="0" w:type="dxa"/>
            <w:left w:w="0" w:type="dxa"/>
            <w:bottom w:w="0" w:type="dxa"/>
            <w:right w:w="0" w:type="dxa"/>
          </w:tblCellMar>
        </w:tblPrEx>
        <w:trPr>
          <w:trHeight w:val="584" w:hRule="atLeast"/>
          <w:jc w:val="center"/>
        </w:trPr>
        <w:tc>
          <w:tcPr>
            <w:tcW w:w="8800" w:type="dxa"/>
            <w:gridSpan w:val="1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gridSpan w:val="4"/>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gridSpan w:val="4"/>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14"/>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eastAsia="宋体" w:cs="宋体"/>
                <w:i w:val="0"/>
                <w:color w:val="000000"/>
                <w:kern w:val="0"/>
                <w:sz w:val="20"/>
                <w:szCs w:val="20"/>
                <w:u w:val="none"/>
                <w:lang w:val="en-US" w:eastAsia="zh-CN" w:bidi="ar"/>
              </w:rPr>
              <w:t>廊坊市霸州市农业局（本级）</w:t>
            </w:r>
          </w:p>
        </w:tc>
        <w:tc>
          <w:tcPr>
            <w:tcW w:w="1527"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1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435" w:hRule="atLeast"/>
          <w:jc w:val="center"/>
        </w:trPr>
        <w:tc>
          <w:tcPr>
            <w:tcW w:w="4858" w:type="dxa"/>
            <w:gridSpan w:val="9"/>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合计</w:t>
            </w:r>
          </w:p>
        </w:tc>
        <w:tc>
          <w:tcPr>
            <w:tcW w:w="113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因公出国（境）费</w:t>
            </w:r>
          </w:p>
        </w:tc>
        <w:tc>
          <w:tcPr>
            <w:tcW w:w="202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公务用车购置及运行费</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86" w:hRule="atLeast"/>
          <w:jc w:val="center"/>
        </w:trPr>
        <w:tc>
          <w:tcPr>
            <w:tcW w:w="4858"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小计</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公务用车购置费</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公务用车运行费</w:t>
            </w: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435" w:hRule="atLeast"/>
          <w:jc w:val="center"/>
        </w:trPr>
        <w:tc>
          <w:tcPr>
            <w:tcW w:w="4858"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435" w:hRule="atLeast"/>
          <w:jc w:val="center"/>
        </w:trPr>
        <w:tc>
          <w:tcPr>
            <w:tcW w:w="4858"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8.35</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7.50</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7.50</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0.85</w:t>
            </w:r>
          </w:p>
        </w:tc>
      </w:tr>
      <w:tr>
        <w:tblPrEx>
          <w:tblCellMar>
            <w:top w:w="0" w:type="dxa"/>
            <w:left w:w="0" w:type="dxa"/>
            <w:bottom w:w="0" w:type="dxa"/>
            <w:right w:w="0" w:type="dxa"/>
          </w:tblCellMar>
        </w:tblPrEx>
        <w:trPr>
          <w:trHeight w:val="498" w:hRule="atLeast"/>
          <w:jc w:val="center"/>
        </w:trPr>
        <w:tc>
          <w:tcPr>
            <w:tcW w:w="8800" w:type="dxa"/>
            <w:gridSpan w:val="1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435" w:hRule="atLeast"/>
          <w:jc w:val="center"/>
        </w:trPr>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合计</w:t>
            </w:r>
          </w:p>
        </w:tc>
        <w:tc>
          <w:tcPr>
            <w:tcW w:w="9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因公出国（境）费</w:t>
            </w:r>
          </w:p>
        </w:tc>
        <w:tc>
          <w:tcPr>
            <w:tcW w:w="17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公务用车购置及运行费</w:t>
            </w:r>
          </w:p>
        </w:tc>
        <w:tc>
          <w:tcPr>
            <w:tcW w:w="5482" w:type="dxa"/>
            <w:gridSpan w:val="9"/>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72"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小计</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公务用车购置费</w:t>
            </w:r>
          </w:p>
        </w:tc>
        <w:tc>
          <w:tcPr>
            <w:tcW w:w="6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公务用车运行费</w:t>
            </w:r>
          </w:p>
        </w:tc>
        <w:tc>
          <w:tcPr>
            <w:tcW w:w="5482"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w:t>
            </w:r>
          </w:p>
        </w:tc>
        <w:tc>
          <w:tcPr>
            <w:tcW w:w="9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9</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10</w:t>
            </w:r>
          </w:p>
        </w:tc>
        <w:tc>
          <w:tcPr>
            <w:tcW w:w="6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11</w:t>
            </w:r>
          </w:p>
        </w:tc>
        <w:tc>
          <w:tcPr>
            <w:tcW w:w="548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435"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8.00</w:t>
            </w:r>
          </w:p>
        </w:tc>
        <w:tc>
          <w:tcPr>
            <w:tcW w:w="95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7.50</w:t>
            </w:r>
          </w:p>
        </w:tc>
        <w:tc>
          <w:tcPr>
            <w:tcW w:w="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66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7.50</w:t>
            </w:r>
          </w:p>
        </w:tc>
        <w:tc>
          <w:tcPr>
            <w:tcW w:w="5482"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0.50</w:t>
            </w:r>
          </w:p>
        </w:tc>
      </w:tr>
      <w:tr>
        <w:tblPrEx>
          <w:tblCellMar>
            <w:top w:w="0" w:type="dxa"/>
            <w:left w:w="0" w:type="dxa"/>
            <w:bottom w:w="0" w:type="dxa"/>
            <w:right w:w="0" w:type="dxa"/>
          </w:tblCellMar>
        </w:tblPrEx>
        <w:trPr>
          <w:trHeight w:val="782" w:hRule="atLeast"/>
          <w:jc w:val="center"/>
        </w:trPr>
        <w:tc>
          <w:tcPr>
            <w:tcW w:w="8800" w:type="dxa"/>
            <w:gridSpan w:val="1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eastAsia="宋体" w:cs="宋体"/>
                <w:i w:val="0"/>
                <w:color w:val="000000"/>
                <w:kern w:val="0"/>
                <w:sz w:val="20"/>
                <w:szCs w:val="20"/>
                <w:u w:val="none"/>
                <w:lang w:val="en-US" w:eastAsia="zh-CN" w:bidi="ar"/>
              </w:rPr>
              <w:t>廊坊市霸州市农业局（本级）</w:t>
            </w: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hint="eastAsia" w:ascii="宋体" w:hAnsi="宋体" w:cs="宋体"/>
                <w:color w:val="000000"/>
                <w:kern w:val="0"/>
                <w:szCs w:val="21"/>
              </w:rPr>
            </w:pPr>
            <w:r>
              <w:rPr>
                <w:rFonts w:hint="eastAsia" w:ascii="宋体" w:hAnsi="宋体" w:cs="宋体"/>
                <w:color w:val="000000"/>
                <w:kern w:val="0"/>
                <w:szCs w:val="21"/>
              </w:rPr>
              <w:t>注：本表反映部门本年度政府性基金预算财政拨款收入、支出及结转和结余情况。</w:t>
            </w:r>
          </w:p>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本部门本年度无相关收入（或支出、收支及结转结余等）情况，按要求空表列示。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r>
              <w:rPr>
                <w:rFonts w:hint="eastAsia" w:ascii="宋体" w:hAnsi="宋体" w:eastAsia="宋体" w:cs="宋体"/>
                <w:i w:val="0"/>
                <w:color w:val="000000"/>
                <w:kern w:val="0"/>
                <w:sz w:val="20"/>
                <w:szCs w:val="20"/>
                <w:u w:val="none"/>
                <w:lang w:val="en-US" w:eastAsia="zh-CN" w:bidi="ar"/>
              </w:rPr>
              <w:t>廊坊市霸州市农业局（本级）</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注：本表反映部门本年度国有资本经营预算财政拨款支出情况。</w:t>
            </w:r>
          </w:p>
          <w:p>
            <w:pPr>
              <w:widowControl/>
              <w:spacing w:after="0" w:line="240" w:lineRule="auto"/>
              <w:jc w:val="left"/>
              <w:textAlignment w:val="center"/>
              <w:rPr>
                <w:rFonts w:hint="eastAsia" w:ascii="宋体" w:hAnsi="宋体" w:cs="宋体"/>
                <w:color w:val="000000"/>
                <w:kern w:val="0"/>
                <w:sz w:val="22"/>
                <w:szCs w:val="22"/>
              </w:rPr>
            </w:pPr>
            <w:r>
              <w:rPr>
                <w:rFonts w:hint="eastAsia" w:ascii="宋体" w:hAnsi="宋体" w:cs="宋体"/>
                <w:color w:val="000000"/>
                <w:kern w:val="0"/>
                <w:szCs w:val="21"/>
              </w:rPr>
              <w:t>本部门本年度无相关收入（或支出、收支及结转结余等）情况，按要求空表列示。</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617"/>
        <w:gridCol w:w="586"/>
        <w:gridCol w:w="31"/>
        <w:gridCol w:w="759"/>
        <w:gridCol w:w="448"/>
        <w:gridCol w:w="825"/>
        <w:gridCol w:w="578"/>
        <w:gridCol w:w="695"/>
        <w:gridCol w:w="120"/>
        <w:gridCol w:w="2380"/>
      </w:tblGrid>
      <w:tr>
        <w:tblPrEx>
          <w:tblCellMar>
            <w:top w:w="0" w:type="dxa"/>
            <w:left w:w="0" w:type="dxa"/>
            <w:bottom w:w="0" w:type="dxa"/>
            <w:right w:w="0" w:type="dxa"/>
          </w:tblCellMar>
        </w:tblPrEx>
        <w:trPr>
          <w:trHeight w:val="635" w:hRule="atLeast"/>
        </w:trPr>
        <w:tc>
          <w:tcPr>
            <w:tcW w:w="894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9"/>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w:t>
            </w:r>
            <w:r>
              <w:rPr>
                <w:rFonts w:hint="eastAsia" w:ascii="宋体" w:hAnsi="宋体" w:eastAsia="宋体" w:cs="宋体"/>
                <w:i w:val="0"/>
                <w:color w:val="000000"/>
                <w:kern w:val="0"/>
                <w:sz w:val="20"/>
                <w:szCs w:val="20"/>
                <w:u w:val="none"/>
                <w:lang w:val="en-US" w:eastAsia="zh-CN" w:bidi="ar"/>
              </w:rPr>
              <w:t>廊坊市霸州市农业局（本级）</w:t>
            </w:r>
          </w:p>
        </w:tc>
        <w:tc>
          <w:tcPr>
            <w:tcW w:w="250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项目</w:t>
            </w:r>
          </w:p>
        </w:tc>
        <w:tc>
          <w:tcPr>
            <w:tcW w:w="7039" w:type="dxa"/>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1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总计</w:t>
            </w:r>
          </w:p>
        </w:tc>
        <w:tc>
          <w:tcPr>
            <w:tcW w:w="4042"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采购预算（财政性资金）</w:t>
            </w:r>
          </w:p>
        </w:tc>
        <w:tc>
          <w:tcPr>
            <w:tcW w:w="238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1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1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合计</w:t>
            </w:r>
          </w:p>
        </w:tc>
        <w:tc>
          <w:tcPr>
            <w:tcW w:w="120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一般公共预算</w:t>
            </w:r>
          </w:p>
        </w:tc>
        <w:tc>
          <w:tcPr>
            <w:tcW w:w="14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政府性基金预算</w:t>
            </w:r>
          </w:p>
        </w:tc>
        <w:tc>
          <w:tcPr>
            <w:tcW w:w="8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其他资金</w:t>
            </w:r>
          </w:p>
        </w:tc>
        <w:tc>
          <w:tcPr>
            <w:tcW w:w="23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栏次</w:t>
            </w: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w:t>
            </w:r>
          </w:p>
        </w:tc>
        <w:tc>
          <w:tcPr>
            <w:tcW w:w="6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w:t>
            </w:r>
          </w:p>
        </w:tc>
        <w:tc>
          <w:tcPr>
            <w:tcW w:w="12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w:t>
            </w:r>
          </w:p>
        </w:tc>
        <w:tc>
          <w:tcPr>
            <w:tcW w:w="14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w:t>
            </w:r>
          </w:p>
        </w:tc>
        <w:tc>
          <w:tcPr>
            <w:tcW w:w="2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合       计</w:t>
            </w: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733.47</w:t>
            </w:r>
          </w:p>
        </w:tc>
        <w:tc>
          <w:tcPr>
            <w:tcW w:w="6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733.47</w:t>
            </w:r>
          </w:p>
        </w:tc>
        <w:tc>
          <w:tcPr>
            <w:tcW w:w="12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733.47</w:t>
            </w:r>
          </w:p>
        </w:tc>
        <w:tc>
          <w:tcPr>
            <w:tcW w:w="14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2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货物</w:t>
            </w: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190.89</w:t>
            </w:r>
          </w:p>
        </w:tc>
        <w:tc>
          <w:tcPr>
            <w:tcW w:w="6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190.89</w:t>
            </w:r>
          </w:p>
        </w:tc>
        <w:tc>
          <w:tcPr>
            <w:tcW w:w="12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190.89</w:t>
            </w:r>
          </w:p>
        </w:tc>
        <w:tc>
          <w:tcPr>
            <w:tcW w:w="14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2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工程</w:t>
            </w: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6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2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4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2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服务</w:t>
            </w: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542.58</w:t>
            </w:r>
          </w:p>
        </w:tc>
        <w:tc>
          <w:tcPr>
            <w:tcW w:w="6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542.58</w:t>
            </w:r>
          </w:p>
        </w:tc>
        <w:tc>
          <w:tcPr>
            <w:tcW w:w="12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542.58</w:t>
            </w:r>
          </w:p>
        </w:tc>
        <w:tc>
          <w:tcPr>
            <w:tcW w:w="14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2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项目</w:t>
            </w:r>
          </w:p>
        </w:tc>
        <w:tc>
          <w:tcPr>
            <w:tcW w:w="7039"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1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总计</w:t>
            </w:r>
          </w:p>
        </w:tc>
        <w:tc>
          <w:tcPr>
            <w:tcW w:w="4042"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采购预算（财政性资金）</w:t>
            </w:r>
          </w:p>
        </w:tc>
        <w:tc>
          <w:tcPr>
            <w:tcW w:w="238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1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1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合计</w:t>
            </w:r>
          </w:p>
        </w:tc>
        <w:tc>
          <w:tcPr>
            <w:tcW w:w="120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一般公共预算</w:t>
            </w:r>
          </w:p>
        </w:tc>
        <w:tc>
          <w:tcPr>
            <w:tcW w:w="14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政府性基金预算</w:t>
            </w:r>
          </w:p>
        </w:tc>
        <w:tc>
          <w:tcPr>
            <w:tcW w:w="8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其他资金</w:t>
            </w:r>
          </w:p>
        </w:tc>
        <w:tc>
          <w:tcPr>
            <w:tcW w:w="23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栏次</w:t>
            </w: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w:t>
            </w:r>
          </w:p>
        </w:tc>
        <w:tc>
          <w:tcPr>
            <w:tcW w:w="6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w:t>
            </w:r>
          </w:p>
        </w:tc>
        <w:tc>
          <w:tcPr>
            <w:tcW w:w="12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9</w:t>
            </w:r>
          </w:p>
        </w:tc>
        <w:tc>
          <w:tcPr>
            <w:tcW w:w="14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w:t>
            </w: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11</w:t>
            </w:r>
          </w:p>
        </w:tc>
        <w:tc>
          <w:tcPr>
            <w:tcW w:w="2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合       计</w:t>
            </w: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661.99</w:t>
            </w:r>
          </w:p>
        </w:tc>
        <w:tc>
          <w:tcPr>
            <w:tcW w:w="6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661.99</w:t>
            </w:r>
          </w:p>
        </w:tc>
        <w:tc>
          <w:tcPr>
            <w:tcW w:w="12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661.99</w:t>
            </w:r>
          </w:p>
        </w:tc>
        <w:tc>
          <w:tcPr>
            <w:tcW w:w="14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2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货物</w:t>
            </w: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178.60</w:t>
            </w:r>
          </w:p>
        </w:tc>
        <w:tc>
          <w:tcPr>
            <w:tcW w:w="6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178.60</w:t>
            </w:r>
          </w:p>
        </w:tc>
        <w:tc>
          <w:tcPr>
            <w:tcW w:w="12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178.60</w:t>
            </w:r>
          </w:p>
        </w:tc>
        <w:tc>
          <w:tcPr>
            <w:tcW w:w="14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2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工程</w:t>
            </w: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6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2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4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2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服务</w:t>
            </w:r>
          </w:p>
        </w:tc>
        <w:tc>
          <w:tcPr>
            <w:tcW w:w="6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483.39</w:t>
            </w:r>
          </w:p>
        </w:tc>
        <w:tc>
          <w:tcPr>
            <w:tcW w:w="6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483.39</w:t>
            </w:r>
          </w:p>
        </w:tc>
        <w:tc>
          <w:tcPr>
            <w:tcW w:w="12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483.39</w:t>
            </w:r>
          </w:p>
        </w:tc>
        <w:tc>
          <w:tcPr>
            <w:tcW w:w="14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8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2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snapToGrid w:val="0"/>
        <w:spacing w:line="560" w:lineRule="exact"/>
        <w:ind w:firstLine="640" w:firstLineChars="200"/>
        <w:rPr>
          <w:rFonts w:hint="eastAsia" w:ascii="仿宋_GB2312" w:eastAsia="仿宋_GB2312" w:cs="DengXian-Regular"/>
          <w:sz w:val="32"/>
          <w:szCs w:val="32"/>
          <w:highlight w:val="yellow"/>
        </w:rPr>
      </w:pPr>
      <w:r>
        <w:rPr>
          <w:rFonts w:hint="eastAsia" w:ascii="仿宋_GB2312" w:eastAsia="仿宋_GB2312" w:cs="DengXian-Regular"/>
          <w:sz w:val="32"/>
          <w:szCs w:val="32"/>
        </w:rPr>
        <w:t>本部门2018年度收</w:t>
      </w:r>
      <w:r>
        <w:rPr>
          <w:rFonts w:hint="eastAsia" w:ascii="仿宋_GB2312" w:eastAsia="仿宋_GB2312" w:cs="DengXian-Regular"/>
          <w:sz w:val="32"/>
          <w:szCs w:val="32"/>
          <w:lang w:eastAsia="zh-CN"/>
        </w:rPr>
        <w:t>入</w:t>
      </w:r>
      <w:r>
        <w:rPr>
          <w:rFonts w:hint="eastAsia" w:ascii="仿宋_GB2312" w:hAnsi="Times New Roman" w:eastAsia="仿宋_GB2312" w:cs="DengXian-Regular"/>
          <w:sz w:val="32"/>
          <w:szCs w:val="32"/>
        </w:rPr>
        <w:t>总计（含结转和结余）</w:t>
      </w:r>
      <w:r>
        <w:rPr>
          <w:rFonts w:hint="eastAsia" w:ascii="仿宋_GB2312" w:hAnsi="Times New Roman" w:eastAsia="仿宋_GB2312" w:cs="DengXian-Regular"/>
          <w:sz w:val="32"/>
          <w:szCs w:val="32"/>
          <w:lang w:val="en-US" w:eastAsia="zh-CN"/>
        </w:rPr>
        <w:t>7799.92</w:t>
      </w:r>
      <w:r>
        <w:rPr>
          <w:rFonts w:hint="eastAsia" w:ascii="仿宋_GB2312" w:hAnsi="Times New Roman" w:eastAsia="仿宋_GB2312" w:cs="DengXian-Regular"/>
          <w:sz w:val="32"/>
          <w:szCs w:val="32"/>
        </w:rPr>
        <w:t>万元。与2017年度决算相比，收入</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1499.61</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16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农业项目减少</w:t>
      </w:r>
      <w:r>
        <w:rPr>
          <w:rFonts w:hint="eastAsia" w:ascii="仿宋_GB2312" w:hAnsi="Times New Roman" w:eastAsia="仿宋_GB2312" w:cs="DengXian-Regular"/>
          <w:sz w:val="32"/>
          <w:szCs w:val="32"/>
        </w:rPr>
        <w:t>。支出总计</w:t>
      </w:r>
      <w:r>
        <w:rPr>
          <w:rFonts w:hint="eastAsia" w:ascii="仿宋_GB2312" w:hAnsi="Times New Roman" w:eastAsia="仿宋_GB2312" w:cs="DengXian-Regular"/>
          <w:sz w:val="32"/>
          <w:szCs w:val="32"/>
          <w:lang w:val="en-US" w:eastAsia="zh-CN"/>
        </w:rPr>
        <w:t>9868.66</w:t>
      </w:r>
      <w:r>
        <w:rPr>
          <w:rFonts w:hint="eastAsia" w:ascii="仿宋_GB2312" w:hAnsi="Times New Roman" w:eastAsia="仿宋_GB2312" w:cs="DengXian-Regular"/>
          <w:sz w:val="32"/>
          <w:szCs w:val="32"/>
        </w:rPr>
        <w:t>万元。与</w:t>
      </w:r>
      <w:r>
        <w:rPr>
          <w:rFonts w:hint="eastAsia" w:ascii="仿宋_GB2312" w:hAnsi="Times New Roman" w:eastAsia="仿宋_GB2312" w:cs="DengXian-Regular"/>
          <w:sz w:val="32"/>
          <w:szCs w:val="32"/>
          <w:lang w:val="en-US" w:eastAsia="zh-CN"/>
        </w:rPr>
        <w:t>2017</w:t>
      </w:r>
      <w:r>
        <w:rPr>
          <w:rFonts w:hint="eastAsia" w:ascii="仿宋_GB2312" w:hAnsi="Times New Roman" w:eastAsia="仿宋_GB2312" w:cs="DengXian-Regular"/>
          <w:sz w:val="32"/>
          <w:szCs w:val="32"/>
        </w:rPr>
        <w:t>年度决算相比，支出增加</w:t>
      </w:r>
      <w:r>
        <w:rPr>
          <w:rFonts w:hint="eastAsia" w:ascii="仿宋_GB2312" w:hAnsi="Times New Roman" w:eastAsia="仿宋_GB2312" w:cs="DengXian-Regular"/>
          <w:sz w:val="32"/>
          <w:szCs w:val="32"/>
          <w:lang w:val="en-US" w:eastAsia="zh-CN"/>
        </w:rPr>
        <w:t>2676.99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37.22</w:t>
      </w:r>
      <w:r>
        <w:rPr>
          <w:rFonts w:hint="eastAsia" w:ascii="仿宋_GB2312" w:hAnsi="Times New Roman" w:eastAsia="仿宋_GB2312" w:cs="DengXian-Regular"/>
          <w:sz w:val="32"/>
          <w:szCs w:val="32"/>
        </w:rPr>
        <w:t>%，主要原因是农业项目增加。</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7799.92</w:t>
      </w:r>
      <w:r>
        <w:rPr>
          <w:rFonts w:hint="eastAsia" w:ascii="仿宋_GB2312" w:eastAsia="仿宋_GB2312" w:cs="DengXian-Regular"/>
          <w:sz w:val="32"/>
          <w:szCs w:val="32"/>
        </w:rPr>
        <w:t>万元，其中：财政拨款收入</w:t>
      </w:r>
      <w:r>
        <w:rPr>
          <w:rFonts w:hint="eastAsia" w:ascii="仿宋_GB2312" w:hAnsi="仿宋_GB2312" w:eastAsia="仿宋_GB2312"/>
          <w:color w:val="000000"/>
          <w:sz w:val="32"/>
          <w:highlight w:val="none"/>
          <w:lang w:val="en-US" w:eastAsia="zh-CN"/>
        </w:rPr>
        <w:t>5787.21</w:t>
      </w:r>
      <w:r>
        <w:rPr>
          <w:rFonts w:hint="eastAsia" w:ascii="仿宋_GB2312" w:eastAsia="仿宋_GB2312" w:cs="DengXian-Regular"/>
          <w:sz w:val="32"/>
          <w:szCs w:val="32"/>
        </w:rPr>
        <w:t>万元，占</w:t>
      </w:r>
      <w:r>
        <w:rPr>
          <w:rFonts w:hint="eastAsia" w:ascii="仿宋_GB2312" w:hAnsi="仿宋_GB2312" w:eastAsia="仿宋_GB2312"/>
          <w:color w:val="000000"/>
          <w:sz w:val="32"/>
          <w:highlight w:val="none"/>
          <w:lang w:val="en-US" w:eastAsia="zh-CN"/>
        </w:rPr>
        <w:t>74.2</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hAnsi="仿宋_GB2312" w:eastAsia="仿宋_GB2312"/>
          <w:color w:val="000000"/>
          <w:sz w:val="32"/>
          <w:highlight w:val="none"/>
          <w:lang w:val="en-US" w:eastAsia="zh-CN"/>
        </w:rPr>
        <w:t>2012.71</w:t>
      </w:r>
      <w:r>
        <w:rPr>
          <w:rFonts w:hint="eastAsia" w:ascii="仿宋_GB2312" w:eastAsia="仿宋_GB2312" w:cs="DengXian-Regular"/>
          <w:sz w:val="32"/>
          <w:szCs w:val="32"/>
        </w:rPr>
        <w:t>万元，占</w:t>
      </w:r>
      <w:r>
        <w:rPr>
          <w:rFonts w:hint="eastAsia" w:ascii="仿宋_GB2312" w:hAnsi="仿宋_GB2312" w:eastAsia="仿宋_GB2312"/>
          <w:color w:val="000000"/>
          <w:sz w:val="32"/>
          <w:highlight w:val="none"/>
          <w:lang w:val="en-US" w:eastAsia="zh-CN"/>
        </w:rPr>
        <w:t>25.8</w:t>
      </w:r>
      <w:r>
        <w:rPr>
          <w:rFonts w:hint="eastAsia" w:ascii="仿宋_GB2312" w:eastAsia="仿宋_GB2312" w:cs="DengXian-Regular"/>
          <w:sz w:val="32"/>
          <w:szCs w:val="32"/>
        </w:rPr>
        <w:t>%。如</w:t>
      </w:r>
      <w:r>
        <w:rPr>
          <w:rFonts w:hint="eastAsia" w:ascii="仿宋_GB2312" w:eastAsia="仿宋_GB2312" w:cs="DengXian-Regular"/>
          <w:sz w:val="32"/>
          <w:szCs w:val="32"/>
          <w:lang w:eastAsia="zh-CN"/>
        </w:rPr>
        <w:t>表</w:t>
      </w:r>
      <w:r>
        <w:rPr>
          <w:rFonts w:hint="eastAsia" w:ascii="仿宋_GB2312" w:eastAsia="仿宋_GB2312" w:cs="DengXian-Regular"/>
          <w:sz w:val="32"/>
          <w:szCs w:val="32"/>
        </w:rPr>
        <w:t>所示：</w:t>
      </w:r>
    </w:p>
    <w:p>
      <w:pPr>
        <w:adjustRightInd w:val="0"/>
        <w:snapToGrid w:val="0"/>
        <w:spacing w:after="0" w:line="580" w:lineRule="exact"/>
        <w:ind w:firstLine="640" w:firstLineChars="200"/>
        <w:rPr>
          <w:rFonts w:hint="eastAsia" w:ascii="仿宋_GB2312" w:eastAsia="仿宋_GB2312" w:cs="DengXian-Regular"/>
          <w:sz w:val="32"/>
          <w:szCs w:val="32"/>
        </w:rPr>
      </w:pP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67"/>
        <w:gridCol w:w="1731"/>
        <w:gridCol w:w="1560"/>
        <w:gridCol w:w="1560"/>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74"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表1：收入决算结构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金额（万元）</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仿宋_GB2312" w:hAnsi="仿宋_GB2312" w:eastAsia="仿宋_GB2312"/>
                <w:color w:val="000000"/>
                <w:sz w:val="32"/>
                <w:highlight w:val="none"/>
                <w:lang w:val="en-US" w:eastAsia="zh-CN"/>
              </w:rPr>
              <w:t>5787.21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仿宋_GB2312" w:hAnsi="仿宋_GB2312" w:eastAsia="仿宋_GB2312"/>
                <w:color w:val="000000"/>
                <w:sz w:val="32"/>
                <w:highlight w:val="none"/>
                <w:lang w:val="en-US" w:eastAsia="zh-CN"/>
              </w:rPr>
              <w:t>2012.71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仿宋_GB2312" w:hAnsi="仿宋_GB2312" w:eastAsia="仿宋_GB2312"/>
                <w:color w:val="000000"/>
                <w:sz w:val="32"/>
                <w:highlight w:val="none"/>
                <w:lang w:val="en-US" w:eastAsia="zh-CN"/>
              </w:rPr>
              <w:t>74.2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仿宋_GB2312" w:hAnsi="仿宋_GB2312" w:eastAsia="仿宋_GB2312"/>
                <w:color w:val="000000"/>
                <w:sz w:val="32"/>
                <w:highlight w:val="none"/>
                <w:lang w:val="en-US" w:eastAsia="zh-CN"/>
              </w:rPr>
              <w:t>25.8</w:t>
            </w:r>
          </w:p>
        </w:tc>
      </w:tr>
    </w:tbl>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hAnsi="仿宋_GB2312" w:eastAsia="仿宋_GB2312"/>
          <w:color w:val="000000"/>
          <w:sz w:val="32"/>
          <w:highlight w:val="none"/>
          <w:lang w:val="en-US" w:eastAsia="zh-CN"/>
        </w:rPr>
        <w:t>9868.66</w:t>
      </w:r>
      <w:r>
        <w:rPr>
          <w:rFonts w:hint="eastAsia" w:ascii="仿宋_GB2312" w:eastAsia="仿宋_GB2312" w:cs="DengXian-Regular"/>
          <w:sz w:val="32"/>
          <w:szCs w:val="32"/>
        </w:rPr>
        <w:t>万元，其中：基本支出</w:t>
      </w:r>
      <w:r>
        <w:rPr>
          <w:rFonts w:hint="eastAsia" w:ascii="仿宋_GB2312" w:hAnsi="仿宋_GB2312" w:eastAsia="仿宋_GB2312"/>
          <w:color w:val="000000"/>
          <w:sz w:val="32"/>
          <w:highlight w:val="none"/>
          <w:lang w:val="en-US" w:eastAsia="zh-CN"/>
        </w:rPr>
        <w:t>1120.58</w:t>
      </w:r>
      <w:r>
        <w:rPr>
          <w:rFonts w:hint="eastAsia" w:ascii="仿宋_GB2312" w:hAnsi="仿宋_GB2312" w:eastAsia="仿宋_GB2312"/>
          <w:color w:val="000000"/>
          <w:sz w:val="32"/>
          <w:highlight w:val="none"/>
        </w:rPr>
        <w:t>万元，占比</w:t>
      </w:r>
      <w:r>
        <w:rPr>
          <w:rFonts w:hint="eastAsia" w:ascii="仿宋_GB2312" w:hAnsi="仿宋_GB2312" w:eastAsia="仿宋_GB2312"/>
          <w:color w:val="000000"/>
          <w:sz w:val="32"/>
          <w:highlight w:val="none"/>
          <w:lang w:val="en-US" w:eastAsia="zh-CN"/>
        </w:rPr>
        <w:t>11.35</w:t>
      </w:r>
      <w:r>
        <w:rPr>
          <w:rFonts w:hint="eastAsia" w:ascii="仿宋_GB2312" w:eastAsia="仿宋_GB2312" w:cs="DengXian-Regular"/>
          <w:sz w:val="32"/>
          <w:szCs w:val="32"/>
        </w:rPr>
        <w:t>%；项目支出</w:t>
      </w:r>
      <w:r>
        <w:rPr>
          <w:rFonts w:hint="eastAsia" w:ascii="仿宋_GB2312" w:hAnsi="仿宋_GB2312" w:eastAsia="仿宋_GB2312"/>
          <w:color w:val="000000"/>
          <w:sz w:val="32"/>
          <w:highlight w:val="none"/>
          <w:lang w:val="en-US" w:eastAsia="zh-CN"/>
        </w:rPr>
        <w:t>8748.08</w:t>
      </w:r>
      <w:r>
        <w:rPr>
          <w:rFonts w:hint="eastAsia" w:ascii="仿宋_GB2312" w:hAnsi="仿宋_GB2312" w:eastAsia="仿宋_GB2312"/>
          <w:color w:val="000000"/>
          <w:sz w:val="32"/>
          <w:highlight w:val="none"/>
        </w:rPr>
        <w:t>万元，占比</w:t>
      </w:r>
      <w:r>
        <w:rPr>
          <w:rFonts w:hint="eastAsia" w:ascii="仿宋_GB2312" w:hAnsi="仿宋_GB2312" w:eastAsia="仿宋_GB2312"/>
          <w:color w:val="000000"/>
          <w:sz w:val="32"/>
          <w:highlight w:val="none"/>
          <w:lang w:val="en-US" w:eastAsia="zh-CN"/>
        </w:rPr>
        <w:t>88.64</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w:t>
      </w:r>
      <w:r>
        <w:rPr>
          <w:rFonts w:hint="eastAsia" w:ascii="仿宋_GB2312" w:eastAsia="仿宋_GB2312" w:cs="DengXian-Regular"/>
          <w:sz w:val="32"/>
          <w:szCs w:val="32"/>
          <w:lang w:eastAsia="zh-CN"/>
        </w:rPr>
        <w:t>表</w:t>
      </w:r>
      <w:r>
        <w:rPr>
          <w:rFonts w:hint="eastAsia" w:ascii="仿宋_GB2312" w:eastAsia="仿宋_GB2312" w:cs="DengXian-Regular"/>
          <w:sz w:val="32"/>
          <w:szCs w:val="32"/>
        </w:rPr>
        <w:t>所示：</w:t>
      </w:r>
    </w:p>
    <w:p>
      <w:pPr>
        <w:adjustRightInd w:val="0"/>
        <w:snapToGrid w:val="0"/>
        <w:spacing w:after="0" w:line="580" w:lineRule="exact"/>
        <w:ind w:firstLine="640" w:firstLineChars="200"/>
        <w:rPr>
          <w:rFonts w:hint="eastAsia" w:ascii="仿宋_GB2312" w:eastAsia="仿宋_GB2312" w:cs="DengXian-Regular"/>
          <w:sz w:val="32"/>
          <w:szCs w:val="32"/>
        </w:rPr>
      </w:pP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93"/>
        <w:gridCol w:w="2300"/>
        <w:gridCol w:w="2070"/>
        <w:gridCol w:w="2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74"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表2：支出决算结构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r>
              <w:rPr>
                <w:rFonts w:hint="eastAsia" w:ascii="宋体" w:hAnsi="宋体" w:cs="宋体"/>
                <w:i w:val="0"/>
                <w:color w:val="000000"/>
                <w:kern w:val="0"/>
                <w:sz w:val="20"/>
                <w:szCs w:val="20"/>
                <w:u w:val="none"/>
                <w:lang w:val="en-US" w:eastAsia="zh-CN" w:bidi="ar"/>
              </w:rPr>
              <w:t>支出</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金额（万元）</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仿宋_GB2312" w:hAnsi="仿宋_GB2312" w:eastAsia="仿宋_GB2312"/>
                <w:color w:val="000000"/>
                <w:sz w:val="32"/>
                <w:highlight w:val="none"/>
                <w:lang w:val="en-US" w:eastAsia="zh-CN"/>
              </w:rPr>
              <w:t>1120.58</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仿宋_GB2312" w:hAnsi="仿宋_GB2312" w:eastAsia="仿宋_GB2312"/>
                <w:color w:val="000000"/>
                <w:sz w:val="32"/>
                <w:highlight w:val="none"/>
                <w:lang w:val="en-US" w:eastAsia="zh-CN"/>
              </w:rPr>
              <w:t>8748.08</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仿宋_GB2312" w:hAnsi="仿宋_GB2312" w:eastAsia="仿宋_GB2312"/>
                <w:color w:val="000000"/>
                <w:sz w:val="32"/>
                <w:highlight w:val="none"/>
                <w:lang w:val="en-US" w:eastAsia="zh-CN"/>
              </w:rPr>
              <w:t>11.35</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仿宋_GB2312" w:hAnsi="仿宋_GB2312" w:eastAsia="仿宋_GB2312"/>
                <w:color w:val="000000"/>
                <w:sz w:val="32"/>
                <w:highlight w:val="none"/>
                <w:lang w:val="en-US" w:eastAsia="zh-CN"/>
              </w:rPr>
              <w:t>88.64</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bl>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w:t>
      </w:r>
      <w:r>
        <w:rPr>
          <w:rFonts w:hint="eastAsia" w:ascii="仿宋_GB2312" w:hAnsi="仿宋_GB2312" w:eastAsia="仿宋_GB2312"/>
          <w:color w:val="000000"/>
          <w:sz w:val="32"/>
          <w:highlight w:val="none"/>
          <w:lang w:val="en-US" w:eastAsia="zh-CN"/>
        </w:rPr>
        <w:t>5787.21</w:t>
      </w:r>
      <w:r>
        <w:rPr>
          <w:rFonts w:hint="eastAsia" w:ascii="仿宋_GB2312" w:eastAsia="仿宋_GB2312" w:cs="DengXian-Regular"/>
          <w:sz w:val="32"/>
          <w:szCs w:val="32"/>
        </w:rPr>
        <w:t>万元,比2017年度减少</w:t>
      </w:r>
      <w:r>
        <w:rPr>
          <w:rFonts w:hint="eastAsia" w:ascii="仿宋_GB2312" w:hAnsi="仿宋_GB2312" w:eastAsia="仿宋_GB2312"/>
          <w:color w:val="000000"/>
          <w:sz w:val="32"/>
          <w:highlight w:val="none"/>
          <w:lang w:val="en-US" w:eastAsia="zh-CN"/>
        </w:rPr>
        <w:t>1443.87</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20</w:t>
      </w:r>
      <w:r>
        <w:rPr>
          <w:rFonts w:hint="eastAsia" w:ascii="仿宋_GB2312" w:eastAsia="仿宋_GB2312" w:cs="DengXian-Regular"/>
          <w:sz w:val="32"/>
          <w:szCs w:val="32"/>
        </w:rPr>
        <w:t>%，主要是</w:t>
      </w:r>
      <w:r>
        <w:rPr>
          <w:rFonts w:hint="eastAsia" w:ascii="仿宋_GB2312" w:hAnsi="仿宋_GB2312" w:eastAsia="仿宋_GB2312"/>
          <w:color w:val="000000"/>
          <w:sz w:val="32"/>
          <w:highlight w:val="none"/>
          <w:lang w:val="en-US" w:eastAsia="zh-CN"/>
        </w:rPr>
        <w:t>2018</w:t>
      </w:r>
      <w:r>
        <w:rPr>
          <w:rFonts w:hint="eastAsia" w:ascii="仿宋_GB2312" w:hAnsi="仿宋_GB2312" w:eastAsia="仿宋_GB2312"/>
          <w:color w:val="000000"/>
          <w:sz w:val="32"/>
          <w:highlight w:val="none"/>
        </w:rPr>
        <w:t>年人员经费</w:t>
      </w:r>
      <w:r>
        <w:rPr>
          <w:rFonts w:hint="eastAsia" w:ascii="仿宋_GB2312" w:hAnsi="仿宋_GB2312" w:eastAsia="仿宋_GB2312"/>
          <w:color w:val="000000"/>
          <w:sz w:val="32"/>
          <w:highlight w:val="none"/>
          <w:lang w:eastAsia="zh-CN"/>
        </w:rPr>
        <w:t>减少</w:t>
      </w:r>
      <w:r>
        <w:rPr>
          <w:rFonts w:hint="eastAsia" w:ascii="仿宋_GB2312" w:hAnsi="仿宋_GB2312" w:eastAsia="仿宋_GB2312"/>
          <w:color w:val="000000"/>
          <w:sz w:val="32"/>
          <w:highlight w:val="none"/>
        </w:rPr>
        <w:t>，农业项目增加</w:t>
      </w:r>
      <w:r>
        <w:rPr>
          <w:rFonts w:hint="eastAsia" w:ascii="仿宋_GB2312" w:eastAsia="仿宋_GB2312" w:cs="DengXian-Regular"/>
          <w:sz w:val="32"/>
          <w:szCs w:val="32"/>
        </w:rPr>
        <w:t>；本年支出</w:t>
      </w:r>
      <w:r>
        <w:rPr>
          <w:rFonts w:hint="eastAsia" w:ascii="仿宋_GB2312" w:hAnsi="仿宋_GB2312" w:eastAsia="仿宋_GB2312"/>
          <w:color w:val="000000"/>
          <w:sz w:val="32"/>
          <w:highlight w:val="none"/>
          <w:lang w:val="en-US" w:eastAsia="zh-CN"/>
        </w:rPr>
        <w:t>7849.63</w:t>
      </w:r>
      <w:r>
        <w:rPr>
          <w:rFonts w:hint="eastAsia" w:ascii="仿宋_GB2312" w:eastAsia="仿宋_GB2312" w:cs="DengXian-Regular"/>
          <w:sz w:val="32"/>
          <w:szCs w:val="32"/>
        </w:rPr>
        <w:t>万元，增加</w:t>
      </w:r>
      <w:r>
        <w:rPr>
          <w:rFonts w:hint="eastAsia" w:ascii="仿宋_GB2312" w:hAnsi="仿宋_GB2312" w:eastAsia="仿宋_GB2312"/>
          <w:color w:val="000000"/>
          <w:sz w:val="32"/>
          <w:highlight w:val="none"/>
          <w:lang w:val="en-US" w:eastAsia="zh-CN"/>
        </w:rPr>
        <w:t>2926.45</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60.67</w:t>
      </w:r>
      <w:r>
        <w:rPr>
          <w:rFonts w:hint="eastAsia" w:ascii="仿宋_GB2312" w:eastAsia="仿宋_GB2312" w:cs="DengXian-Regular"/>
          <w:sz w:val="32"/>
          <w:szCs w:val="32"/>
        </w:rPr>
        <w:t>%，主要是</w:t>
      </w:r>
      <w:r>
        <w:rPr>
          <w:rFonts w:hint="eastAsia" w:ascii="仿宋_GB2312" w:hAnsi="仿宋_GB2312" w:eastAsia="仿宋_GB2312"/>
          <w:color w:val="000000"/>
          <w:sz w:val="32"/>
          <w:highlight w:val="none"/>
          <w:lang w:val="en-US" w:eastAsia="zh-CN"/>
        </w:rPr>
        <w:t>2018</w:t>
      </w:r>
      <w:r>
        <w:rPr>
          <w:rFonts w:hint="eastAsia" w:ascii="仿宋_GB2312" w:hAnsi="仿宋_GB2312" w:eastAsia="仿宋_GB2312"/>
          <w:color w:val="000000"/>
          <w:sz w:val="32"/>
          <w:highlight w:val="none"/>
        </w:rPr>
        <w:t>年农业项目增加</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60"/>
        <w:gridCol w:w="1037"/>
        <w:gridCol w:w="1038"/>
        <w:gridCol w:w="1039"/>
        <w:gridCol w:w="1038"/>
        <w:gridCol w:w="1113"/>
        <w:gridCol w:w="1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8874" w:type="dxa"/>
            <w:gridSpan w:val="7"/>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表3：2017-2018年财政拨款收支情况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31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一般公共预算财政拨款支出</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7231.08</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7231.08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4823.18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4823.18</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5787.21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5787.21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7849.63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7849.63</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增长比率（%）</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降低20%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降低20%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增加0.67%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增加</w:t>
            </w:r>
            <w:r>
              <w:rPr>
                <w:rFonts w:hint="eastAsia" w:ascii="宋体" w:hAnsi="宋体" w:cs="宋体"/>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0.67</w:t>
            </w:r>
            <w:r>
              <w:rPr>
                <w:rFonts w:hint="eastAsia" w:ascii="宋体" w:hAnsi="宋体" w:cs="宋体"/>
                <w:i w:val="0"/>
                <w:color w:val="000000"/>
                <w:kern w:val="0"/>
                <w:sz w:val="20"/>
                <w:szCs w:val="20"/>
                <w:u w:val="none"/>
                <w:lang w:val="en-US" w:eastAsia="zh-CN" w:bidi="ar"/>
              </w:rPr>
              <w:t>%</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bl>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本部门2018年度一般公共预算财政拨款收入</w:t>
      </w:r>
      <w:r>
        <w:rPr>
          <w:rFonts w:hint="eastAsia" w:ascii="仿宋_GB2312" w:eastAsia="仿宋_GB2312" w:cs="DengXian-Regular"/>
          <w:sz w:val="32"/>
          <w:szCs w:val="32"/>
          <w:lang w:val="en-US" w:eastAsia="zh-CN"/>
        </w:rPr>
        <w:t>5787.21</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186</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2679.48</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农业项目增加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7849.63</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252</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4741.9</w:t>
      </w:r>
      <w:r>
        <w:rPr>
          <w:rFonts w:hint="eastAsia" w:ascii="仿宋_GB2312" w:eastAsia="仿宋_GB2312" w:cs="DengXian-Regular"/>
          <w:sz w:val="32"/>
          <w:szCs w:val="32"/>
        </w:rPr>
        <w:t>万元，决算数大于预算数主要是项目资金</w:t>
      </w:r>
      <w:r>
        <w:rPr>
          <w:rFonts w:hint="eastAsia" w:ascii="仿宋_GB2312" w:eastAsia="仿宋_GB2312" w:cs="DengXian-Regular"/>
          <w:sz w:val="32"/>
          <w:szCs w:val="32"/>
          <w:lang w:eastAsia="zh-CN"/>
        </w:rPr>
        <w:t>增加</w:t>
      </w:r>
      <w:r>
        <w:rPr>
          <w:rFonts w:hint="eastAsia" w:ascii="仿宋_GB2312" w:eastAsia="仿宋_GB2312" w:cs="DengXian-Regular"/>
          <w:sz w:val="32"/>
          <w:szCs w:val="32"/>
        </w:rPr>
        <w:t>以及项目支出进度</w:t>
      </w:r>
      <w:r>
        <w:rPr>
          <w:rFonts w:hint="eastAsia" w:ascii="仿宋_GB2312" w:eastAsia="仿宋_GB2312" w:cs="DengXian-Regular"/>
          <w:sz w:val="32"/>
          <w:szCs w:val="32"/>
          <w:lang w:eastAsia="zh-CN"/>
        </w:rPr>
        <w:t>快</w:t>
      </w: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rPr>
      </w:pPr>
    </w:p>
    <w:tbl>
      <w:tblPr>
        <w:tblStyle w:val="12"/>
        <w:tblW w:w="9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55"/>
        <w:gridCol w:w="1523"/>
        <w:gridCol w:w="1003"/>
        <w:gridCol w:w="1522"/>
        <w:gridCol w:w="1003"/>
        <w:gridCol w:w="1003"/>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9045"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表4：财政拨款收支预决算对比情况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0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年初预算数（万元）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3107.41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3107.41</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3107.73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3107.73</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5787.21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5787.21</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7849.63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7849.63</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bl>
    <w:p>
      <w:pPr>
        <w:adjustRightInd w:val="0"/>
        <w:snapToGrid w:val="0"/>
        <w:spacing w:after="0" w:line="580" w:lineRule="exact"/>
        <w:ind w:firstLine="640" w:firstLineChars="200"/>
        <w:rPr>
          <w:rFonts w:hint="eastAsia"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7849.63</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主要用于以下方面：节能环保支出3675.31万元，占46.82%，农林水支出4174.32，占53.18%。</w:t>
      </w:r>
    </w:p>
    <w:p>
      <w:pPr>
        <w:adjustRightInd w:val="0"/>
        <w:snapToGrid w:val="0"/>
        <w:spacing w:after="0" w:line="580" w:lineRule="exact"/>
        <w:ind w:firstLine="640" w:firstLineChars="200"/>
        <w:rPr>
          <w:rFonts w:hint="eastAsia" w:ascii="仿宋_GB2312" w:eastAsia="仿宋_GB2312" w:cs="DengXian-Regular"/>
          <w:sz w:val="32"/>
          <w:szCs w:val="32"/>
        </w:rPr>
      </w:pP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21"/>
        <w:gridCol w:w="1615"/>
        <w:gridCol w:w="1615"/>
        <w:gridCol w:w="1615"/>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74"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表5：财政拨款支出决算结构（按功能分类）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节能环保</w:t>
            </w:r>
            <w:r>
              <w:rPr>
                <w:rFonts w:hint="eastAsia" w:ascii="宋体" w:hAnsi="宋体" w:eastAsia="宋体" w:cs="宋体"/>
                <w:i w:val="0"/>
                <w:color w:val="000000"/>
                <w:kern w:val="0"/>
                <w:sz w:val="20"/>
                <w:szCs w:val="20"/>
                <w:u w:val="none"/>
                <w:lang w:val="en-US" w:eastAsia="zh-CN" w:bidi="ar"/>
              </w:rPr>
              <w:t>支出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农林水</w:t>
            </w:r>
            <w:r>
              <w:rPr>
                <w:rFonts w:hint="eastAsia" w:ascii="宋体" w:hAnsi="宋体" w:eastAsia="宋体" w:cs="宋体"/>
                <w:i w:val="0"/>
                <w:color w:val="000000"/>
                <w:kern w:val="0"/>
                <w:sz w:val="20"/>
                <w:szCs w:val="20"/>
                <w:u w:val="none"/>
                <w:lang w:val="en-US" w:eastAsia="zh-CN" w:bidi="ar"/>
              </w:rPr>
              <w:t>支出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金额（万元）</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3675.31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4174.32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6.82</w:t>
            </w:r>
            <w:r>
              <w:rPr>
                <w:rFonts w:hint="eastAsia" w:ascii="宋体" w:hAnsi="宋体" w:cs="宋体"/>
                <w:i w:val="0"/>
                <w:color w:val="000000"/>
                <w:kern w:val="0"/>
                <w:sz w:val="20"/>
                <w:szCs w:val="20"/>
                <w:u w:val="none"/>
                <w:lang w:val="en-US" w:eastAsia="zh-CN" w:bidi="ar"/>
              </w:rPr>
              <w:t>%</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53.18</w:t>
            </w:r>
            <w:r>
              <w:rPr>
                <w:rFonts w:hint="eastAsia" w:ascii="宋体" w:hAnsi="宋体" w:cs="宋体"/>
                <w:i w:val="0"/>
                <w:color w:val="000000"/>
                <w:kern w:val="0"/>
                <w:sz w:val="20"/>
                <w:szCs w:val="20"/>
                <w:u w:val="none"/>
                <w:lang w:val="en-US" w:eastAsia="zh-CN" w:bidi="ar"/>
              </w:rPr>
              <w:t>%</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bl>
    <w:p>
      <w:pPr>
        <w:adjustRightInd w:val="0"/>
        <w:snapToGrid w:val="0"/>
        <w:spacing w:after="0" w:line="580" w:lineRule="exact"/>
        <w:ind w:left="420" w:leftChars="200"/>
        <w:rPr>
          <w:rFonts w:hint="eastAsia" w:ascii="仿宋_GB2312" w:eastAsia="仿宋_GB2312" w:cs="DengXian-Regular"/>
          <w:sz w:val="32"/>
          <w:szCs w:val="32"/>
          <w:highlight w:val="yellow"/>
          <w:lang w:eastAsia="zh-CN"/>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1220.57</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1015.23</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105.34</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8</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0.35</w:t>
      </w:r>
      <w:r>
        <w:rPr>
          <w:rFonts w:eastAsia="仿宋_GB2312"/>
          <w:sz w:val="32"/>
          <w:szCs w:val="32"/>
        </w:rPr>
        <w:t>万元，降低</w:t>
      </w:r>
      <w:r>
        <w:rPr>
          <w:rFonts w:hint="eastAsia" w:eastAsia="仿宋_GB2312"/>
          <w:sz w:val="32"/>
          <w:szCs w:val="32"/>
          <w:lang w:val="en-US" w:eastAsia="zh-CN"/>
        </w:rPr>
        <w:t>4.1</w:t>
      </w:r>
      <w:r>
        <w:rPr>
          <w:rFonts w:eastAsia="仿宋_GB2312"/>
          <w:sz w:val="32"/>
          <w:szCs w:val="32"/>
        </w:rPr>
        <w:t>%，主要是</w:t>
      </w:r>
      <w:r>
        <w:rPr>
          <w:rFonts w:hint="eastAsia" w:eastAsia="仿宋_GB2312"/>
          <w:sz w:val="32"/>
          <w:szCs w:val="32"/>
          <w:lang w:eastAsia="zh-CN"/>
        </w:rPr>
        <w:t>公车减少及接待次数减少</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2.03</w:t>
      </w:r>
      <w:r>
        <w:rPr>
          <w:rFonts w:eastAsia="仿宋_GB2312"/>
          <w:sz w:val="32"/>
          <w:szCs w:val="32"/>
        </w:rPr>
        <w:t>万元，降低</w:t>
      </w:r>
      <w:r>
        <w:rPr>
          <w:rFonts w:hint="eastAsia" w:eastAsia="仿宋_GB2312"/>
          <w:sz w:val="32"/>
          <w:szCs w:val="32"/>
          <w:lang w:val="en-US" w:eastAsia="zh-CN"/>
        </w:rPr>
        <w:t>20.2</w:t>
      </w:r>
      <w:r>
        <w:rPr>
          <w:rFonts w:eastAsia="仿宋_GB2312"/>
          <w:sz w:val="32"/>
          <w:szCs w:val="32"/>
        </w:rPr>
        <w:t>%，主要是</w:t>
      </w:r>
      <w:r>
        <w:rPr>
          <w:rFonts w:hint="eastAsia" w:eastAsia="仿宋_GB2312"/>
          <w:sz w:val="32"/>
          <w:szCs w:val="32"/>
          <w:lang w:eastAsia="zh-CN"/>
        </w:rPr>
        <w:t>公车减少及接待次数减少</w:t>
      </w:r>
      <w:r>
        <w:rPr>
          <w:rFonts w:eastAsia="仿宋_GB2312"/>
          <w:sz w:val="32"/>
          <w:szCs w:val="32"/>
        </w:rPr>
        <w:t>。具体情况如下：</w:t>
      </w:r>
    </w:p>
    <w:p>
      <w:pPr>
        <w:numPr>
          <w:ilvl w:val="0"/>
          <w:numId w:val="2"/>
        </w:numPr>
        <w:snapToGrid w:val="0"/>
        <w:spacing w:line="560" w:lineRule="exact"/>
        <w:ind w:firstLine="643" w:firstLineChars="200"/>
        <w:rPr>
          <w:rFonts w:eastAsia="仿宋_GB2312"/>
          <w:sz w:val="32"/>
          <w:szCs w:val="32"/>
        </w:rPr>
      </w:pPr>
      <w:r>
        <w:rPr>
          <w:rFonts w:eastAsia="楷体_GB2312"/>
          <w:b/>
          <w:bCs/>
          <w:sz w:val="32"/>
          <w:szCs w:val="32"/>
        </w:rPr>
        <w:t>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无因公出国境费用</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无因公出国境费用</w:t>
      </w:r>
      <w:r>
        <w:rPr>
          <w:rFonts w:eastAsia="仿宋_GB2312"/>
          <w:sz w:val="32"/>
          <w:szCs w:val="32"/>
        </w:rPr>
        <w:t>。</w:t>
      </w:r>
    </w:p>
    <w:p>
      <w:pPr>
        <w:adjustRightInd w:val="0"/>
        <w:snapToGrid w:val="0"/>
        <w:spacing w:line="584" w:lineRule="exact"/>
        <w:ind w:firstLine="643" w:firstLineChars="200"/>
        <w:rPr>
          <w:rFonts w:eastAsia="仿宋_GB2312"/>
          <w:b/>
          <w:bCs/>
          <w:sz w:val="32"/>
          <w:szCs w:val="32"/>
          <w:highlight w:val="none"/>
        </w:rPr>
      </w:pPr>
      <w:r>
        <w:rPr>
          <w:rFonts w:eastAsia="楷体_GB2312"/>
          <w:b/>
          <w:bCs/>
          <w:sz w:val="32"/>
          <w:szCs w:val="32"/>
        </w:rPr>
        <w:t>（二）公务用车购置及运行维护费</w:t>
      </w:r>
      <w:r>
        <w:rPr>
          <w:rFonts w:eastAsia="楷体_GB2312"/>
          <w:b/>
          <w:bCs/>
          <w:sz w:val="32"/>
          <w:szCs w:val="32"/>
          <w:highlight w:val="none"/>
        </w:rPr>
        <w:t>支出</w:t>
      </w:r>
      <w:r>
        <w:rPr>
          <w:rFonts w:hint="eastAsia" w:eastAsia="楷体_GB2312"/>
          <w:b/>
          <w:bCs/>
          <w:sz w:val="32"/>
          <w:szCs w:val="32"/>
          <w:highlight w:val="none"/>
          <w:lang w:val="en-US" w:eastAsia="zh-CN"/>
        </w:rPr>
        <w:t>7.5</w:t>
      </w:r>
      <w:r>
        <w:rPr>
          <w:rFonts w:eastAsia="楷体_GB2312"/>
          <w:b/>
          <w:bCs/>
          <w:sz w:val="32"/>
          <w:szCs w:val="32"/>
          <w:highlight w:val="none"/>
        </w:rPr>
        <w:t>万元。</w:t>
      </w:r>
      <w:r>
        <w:rPr>
          <w:rFonts w:hint="eastAsia" w:ascii="仿宋_GB2312" w:eastAsia="仿宋_GB2312" w:cs="DengXian-Regular"/>
          <w:sz w:val="32"/>
          <w:szCs w:val="32"/>
          <w:highlight w:val="none"/>
        </w:rPr>
        <w:t>本部门2018年度公务用车购置及运行维护费比年初预算</w:t>
      </w:r>
      <w:r>
        <w:rPr>
          <w:rFonts w:eastAsia="仿宋_GB2312"/>
          <w:color w:val="000000"/>
          <w:sz w:val="32"/>
          <w:szCs w:val="32"/>
          <w:highlight w:val="none"/>
        </w:rPr>
        <w:t>无增减变化</w:t>
      </w:r>
      <w:r>
        <w:rPr>
          <w:rFonts w:hint="eastAsia" w:ascii="仿宋_GB2312" w:eastAsia="仿宋_GB2312" w:cs="DengXian-Regular"/>
          <w:sz w:val="32"/>
          <w:szCs w:val="32"/>
          <w:highlight w:val="none"/>
        </w:rPr>
        <w:t>，</w:t>
      </w:r>
      <w:r>
        <w:rPr>
          <w:rFonts w:eastAsia="仿宋_GB2312"/>
          <w:sz w:val="32"/>
          <w:szCs w:val="32"/>
          <w:highlight w:val="none"/>
        </w:rPr>
        <w:t>增长</w:t>
      </w:r>
      <w:r>
        <w:rPr>
          <w:rFonts w:hint="eastAsia" w:eastAsia="仿宋_GB2312"/>
          <w:sz w:val="32"/>
          <w:szCs w:val="32"/>
          <w:highlight w:val="none"/>
          <w:lang w:val="en-US" w:eastAsia="zh-CN"/>
        </w:rPr>
        <w:t>0</w:t>
      </w:r>
      <w:r>
        <w:rPr>
          <w:rFonts w:eastAsia="仿宋_GB2312"/>
          <w:sz w:val="32"/>
          <w:szCs w:val="32"/>
          <w:highlight w:val="none"/>
        </w:rPr>
        <w:t>%</w:t>
      </w:r>
      <w:r>
        <w:rPr>
          <w:rFonts w:hint="eastAsia" w:ascii="仿宋_GB2312" w:eastAsia="仿宋_GB2312" w:cs="DengXian-Regular"/>
          <w:sz w:val="32"/>
          <w:szCs w:val="32"/>
          <w:highlight w:val="none"/>
        </w:rPr>
        <w:t>,主要是</w:t>
      </w:r>
      <w:r>
        <w:rPr>
          <w:rFonts w:eastAsia="仿宋_GB2312"/>
          <w:color w:val="000000"/>
          <w:sz w:val="32"/>
          <w:szCs w:val="32"/>
          <w:highlight w:val="none"/>
        </w:rPr>
        <w:t>未发生此类支出</w:t>
      </w:r>
      <w:r>
        <w:rPr>
          <w:rFonts w:hint="eastAsia" w:ascii="仿宋_GB2312" w:eastAsia="仿宋_GB2312" w:cs="DengXian-Regular"/>
          <w:sz w:val="32"/>
          <w:szCs w:val="32"/>
          <w:highlight w:val="none"/>
        </w:rPr>
        <w:t>；</w:t>
      </w:r>
      <w:r>
        <w:rPr>
          <w:rFonts w:hint="eastAsia" w:eastAsia="仿宋_GB2312"/>
          <w:sz w:val="32"/>
          <w:szCs w:val="32"/>
          <w:highlight w:val="none"/>
        </w:rPr>
        <w:t>比</w:t>
      </w:r>
      <w:r>
        <w:rPr>
          <w:rFonts w:eastAsia="仿宋_GB2312"/>
          <w:sz w:val="32"/>
          <w:szCs w:val="32"/>
          <w:highlight w:val="none"/>
        </w:rPr>
        <w:t>201</w:t>
      </w:r>
      <w:r>
        <w:rPr>
          <w:rFonts w:hint="eastAsia" w:eastAsia="仿宋_GB2312"/>
          <w:sz w:val="32"/>
          <w:szCs w:val="32"/>
          <w:highlight w:val="none"/>
        </w:rPr>
        <w:t>7</w:t>
      </w:r>
      <w:r>
        <w:rPr>
          <w:rFonts w:eastAsia="仿宋_GB2312"/>
          <w:sz w:val="32"/>
          <w:szCs w:val="32"/>
          <w:highlight w:val="none"/>
        </w:rPr>
        <w:t>年度决算减少</w:t>
      </w:r>
      <w:r>
        <w:rPr>
          <w:rFonts w:hint="eastAsia" w:eastAsia="仿宋_GB2312"/>
          <w:sz w:val="32"/>
          <w:szCs w:val="32"/>
          <w:highlight w:val="none"/>
          <w:lang w:val="en-US" w:eastAsia="zh-CN"/>
        </w:rPr>
        <w:t>1.51</w:t>
      </w:r>
      <w:r>
        <w:rPr>
          <w:rFonts w:eastAsia="仿宋_GB2312"/>
          <w:sz w:val="32"/>
          <w:szCs w:val="32"/>
          <w:highlight w:val="none"/>
        </w:rPr>
        <w:t>万元，降低</w:t>
      </w:r>
      <w:r>
        <w:rPr>
          <w:rFonts w:hint="eastAsia" w:eastAsia="仿宋_GB2312"/>
          <w:sz w:val="32"/>
          <w:szCs w:val="32"/>
          <w:highlight w:val="none"/>
          <w:lang w:val="en-US" w:eastAsia="zh-CN"/>
        </w:rPr>
        <w:t>16.7</w:t>
      </w:r>
      <w:r>
        <w:rPr>
          <w:rFonts w:eastAsia="仿宋_GB2312"/>
          <w:sz w:val="32"/>
          <w:szCs w:val="32"/>
          <w:highlight w:val="none"/>
        </w:rPr>
        <w:t>%，主要是</w:t>
      </w:r>
      <w:r>
        <w:rPr>
          <w:rFonts w:hint="eastAsia" w:eastAsia="仿宋_GB2312"/>
          <w:sz w:val="32"/>
          <w:szCs w:val="32"/>
          <w:highlight w:val="none"/>
          <w:lang w:eastAsia="zh-CN"/>
        </w:rPr>
        <w:t>公车减少</w:t>
      </w:r>
      <w:r>
        <w:rPr>
          <w:rFonts w:eastAsia="仿宋_GB2312"/>
          <w:sz w:val="32"/>
          <w:szCs w:val="32"/>
          <w:highlight w:val="none"/>
        </w:rPr>
        <w:t>。</w:t>
      </w:r>
      <w:r>
        <w:rPr>
          <w:rFonts w:eastAsia="仿宋_GB2312"/>
          <w:b/>
          <w:bCs/>
          <w:sz w:val="32"/>
          <w:szCs w:val="32"/>
          <w:highlight w:val="none"/>
        </w:rPr>
        <w:t>其中：</w:t>
      </w:r>
    </w:p>
    <w:p>
      <w:pPr>
        <w:adjustRightInd w:val="0"/>
        <w:snapToGrid w:val="0"/>
        <w:spacing w:line="584" w:lineRule="exact"/>
        <w:ind w:firstLine="643" w:firstLineChars="200"/>
        <w:rPr>
          <w:rFonts w:eastAsia="仿宋_GB2312"/>
          <w:sz w:val="32"/>
          <w:szCs w:val="32"/>
          <w:highlight w:val="none"/>
        </w:rPr>
      </w:pPr>
      <w:r>
        <w:rPr>
          <w:rFonts w:eastAsia="仿宋_GB2312"/>
          <w:b/>
          <w:sz w:val="32"/>
          <w:szCs w:val="32"/>
          <w:highlight w:val="none"/>
        </w:rPr>
        <w:t>公务用车购置费支出</w:t>
      </w:r>
      <w:r>
        <w:rPr>
          <w:rFonts w:hint="eastAsia" w:eastAsia="仿宋_GB2312"/>
          <w:b/>
          <w:sz w:val="32"/>
          <w:szCs w:val="32"/>
          <w:highlight w:val="none"/>
          <w:lang w:val="en-US" w:eastAsia="zh-CN"/>
        </w:rPr>
        <w:t>0</w:t>
      </w:r>
      <w:r>
        <w:rPr>
          <w:rFonts w:eastAsia="仿宋_GB2312"/>
          <w:b/>
          <w:sz w:val="32"/>
          <w:szCs w:val="32"/>
          <w:highlight w:val="none"/>
        </w:rPr>
        <w:t>万元。</w:t>
      </w:r>
      <w:r>
        <w:rPr>
          <w:rFonts w:eastAsia="仿宋_GB2312"/>
          <w:sz w:val="32"/>
          <w:szCs w:val="32"/>
          <w:highlight w:val="none"/>
        </w:rPr>
        <w:t>本部门201</w:t>
      </w:r>
      <w:r>
        <w:rPr>
          <w:rFonts w:hint="eastAsia" w:eastAsia="仿宋_GB2312"/>
          <w:sz w:val="32"/>
          <w:szCs w:val="32"/>
          <w:highlight w:val="none"/>
        </w:rPr>
        <w:t>8</w:t>
      </w:r>
      <w:r>
        <w:rPr>
          <w:rFonts w:eastAsia="仿宋_GB2312"/>
          <w:sz w:val="32"/>
          <w:szCs w:val="32"/>
          <w:highlight w:val="none"/>
        </w:rPr>
        <w:t>年度公务用车购置数量</w:t>
      </w:r>
      <w:r>
        <w:rPr>
          <w:rFonts w:hint="eastAsia" w:eastAsia="仿宋_GB2312"/>
          <w:sz w:val="32"/>
          <w:szCs w:val="32"/>
          <w:highlight w:val="none"/>
          <w:lang w:val="en-US" w:eastAsia="zh-CN"/>
        </w:rPr>
        <w:t>0</w:t>
      </w:r>
      <w:r>
        <w:rPr>
          <w:rFonts w:eastAsia="仿宋_GB2312"/>
          <w:sz w:val="32"/>
          <w:szCs w:val="32"/>
          <w:highlight w:val="none"/>
        </w:rPr>
        <w:t>辆。公务用车购置费支出</w:t>
      </w:r>
      <w:r>
        <w:rPr>
          <w:rFonts w:hint="eastAsia" w:eastAsia="仿宋_GB2312"/>
          <w:sz w:val="32"/>
          <w:szCs w:val="32"/>
          <w:highlight w:val="none"/>
        </w:rPr>
        <w:t>比</w:t>
      </w:r>
      <w:r>
        <w:rPr>
          <w:rFonts w:eastAsia="仿宋_GB2312"/>
          <w:sz w:val="32"/>
          <w:szCs w:val="32"/>
          <w:highlight w:val="none"/>
        </w:rPr>
        <w:t>年初预算增加</w:t>
      </w:r>
      <w:r>
        <w:rPr>
          <w:rFonts w:hint="eastAsia" w:eastAsia="仿宋_GB2312"/>
          <w:sz w:val="32"/>
          <w:szCs w:val="32"/>
          <w:highlight w:val="none"/>
          <w:lang w:val="en-US" w:eastAsia="zh-CN"/>
        </w:rPr>
        <w:t>0</w:t>
      </w:r>
      <w:r>
        <w:rPr>
          <w:rFonts w:eastAsia="仿宋_GB2312"/>
          <w:sz w:val="32"/>
          <w:szCs w:val="32"/>
          <w:highlight w:val="none"/>
        </w:rPr>
        <w:t>万元，增长</w:t>
      </w:r>
      <w:r>
        <w:rPr>
          <w:rFonts w:hint="eastAsia" w:eastAsia="仿宋_GB2312"/>
          <w:sz w:val="32"/>
          <w:szCs w:val="32"/>
          <w:highlight w:val="none"/>
          <w:lang w:val="en-US" w:eastAsia="zh-CN"/>
        </w:rPr>
        <w:t>0</w:t>
      </w:r>
      <w:r>
        <w:rPr>
          <w:rFonts w:eastAsia="仿宋_GB2312"/>
          <w:sz w:val="32"/>
          <w:szCs w:val="32"/>
          <w:highlight w:val="none"/>
        </w:rPr>
        <w:t>%，主要是</w:t>
      </w:r>
      <w:r>
        <w:rPr>
          <w:rFonts w:eastAsia="仿宋_GB2312"/>
          <w:color w:val="000000"/>
          <w:sz w:val="32"/>
          <w:szCs w:val="32"/>
          <w:highlight w:val="none"/>
        </w:rPr>
        <w:t>未发生此类支出</w:t>
      </w:r>
      <w:r>
        <w:rPr>
          <w:rFonts w:eastAsia="仿宋_GB2312"/>
          <w:sz w:val="32"/>
          <w:szCs w:val="32"/>
          <w:highlight w:val="none"/>
        </w:rPr>
        <w:t>；</w:t>
      </w:r>
      <w:r>
        <w:rPr>
          <w:rFonts w:hint="eastAsia" w:eastAsia="仿宋_GB2312"/>
          <w:sz w:val="32"/>
          <w:szCs w:val="32"/>
          <w:highlight w:val="none"/>
        </w:rPr>
        <w:t>比</w:t>
      </w:r>
      <w:r>
        <w:rPr>
          <w:rFonts w:eastAsia="仿宋_GB2312"/>
          <w:sz w:val="32"/>
          <w:szCs w:val="32"/>
          <w:highlight w:val="none"/>
        </w:rPr>
        <w:t>201</w:t>
      </w:r>
      <w:r>
        <w:rPr>
          <w:rFonts w:hint="eastAsia" w:eastAsia="仿宋_GB2312"/>
          <w:sz w:val="32"/>
          <w:szCs w:val="32"/>
          <w:highlight w:val="none"/>
        </w:rPr>
        <w:t>7</w:t>
      </w:r>
      <w:r>
        <w:rPr>
          <w:rFonts w:eastAsia="仿宋_GB2312"/>
          <w:sz w:val="32"/>
          <w:szCs w:val="32"/>
          <w:highlight w:val="none"/>
        </w:rPr>
        <w:t>年度决算增加</w:t>
      </w:r>
      <w:r>
        <w:rPr>
          <w:rFonts w:hint="eastAsia" w:eastAsia="仿宋_GB2312"/>
          <w:sz w:val="32"/>
          <w:szCs w:val="32"/>
          <w:highlight w:val="none"/>
          <w:lang w:val="en-US" w:eastAsia="zh-CN"/>
        </w:rPr>
        <w:t>0</w:t>
      </w:r>
      <w:r>
        <w:rPr>
          <w:rFonts w:eastAsia="仿宋_GB2312"/>
          <w:sz w:val="32"/>
          <w:szCs w:val="32"/>
          <w:highlight w:val="none"/>
        </w:rPr>
        <w:t>万元，增长</w:t>
      </w:r>
      <w:r>
        <w:rPr>
          <w:rFonts w:hint="eastAsia" w:eastAsia="仿宋_GB2312"/>
          <w:sz w:val="32"/>
          <w:szCs w:val="32"/>
          <w:highlight w:val="none"/>
          <w:lang w:val="en-US" w:eastAsia="zh-CN"/>
        </w:rPr>
        <w:t>0</w:t>
      </w:r>
      <w:r>
        <w:rPr>
          <w:rFonts w:eastAsia="仿宋_GB2312"/>
          <w:sz w:val="32"/>
          <w:szCs w:val="32"/>
          <w:highlight w:val="none"/>
        </w:rPr>
        <w:t>%，主要是</w:t>
      </w:r>
      <w:r>
        <w:rPr>
          <w:rFonts w:eastAsia="仿宋_GB2312"/>
          <w:color w:val="000000"/>
          <w:sz w:val="32"/>
          <w:szCs w:val="32"/>
          <w:highlight w:val="none"/>
        </w:rPr>
        <w:t>未发生此类支出</w:t>
      </w:r>
      <w:r>
        <w:rPr>
          <w:rFonts w:eastAsia="仿宋_GB2312"/>
          <w:sz w:val="32"/>
          <w:szCs w:val="32"/>
          <w:highlight w:val="none"/>
        </w:rPr>
        <w:t>。</w:t>
      </w:r>
    </w:p>
    <w:p>
      <w:pPr>
        <w:adjustRightInd w:val="0"/>
        <w:snapToGrid w:val="0"/>
        <w:spacing w:line="584" w:lineRule="exact"/>
        <w:ind w:firstLine="643" w:firstLineChars="200"/>
        <w:rPr>
          <w:rFonts w:eastAsia="仿宋_GB2312"/>
          <w:sz w:val="32"/>
          <w:szCs w:val="32"/>
        </w:rPr>
      </w:pPr>
      <w:r>
        <w:rPr>
          <w:rFonts w:eastAsia="仿宋_GB2312"/>
          <w:b/>
          <w:sz w:val="32"/>
          <w:szCs w:val="32"/>
          <w:highlight w:val="none"/>
        </w:rPr>
        <w:t>公务用车运行维护费支出</w:t>
      </w:r>
      <w:r>
        <w:rPr>
          <w:rFonts w:hint="eastAsia" w:eastAsia="仿宋_GB2312"/>
          <w:b/>
          <w:sz w:val="32"/>
          <w:szCs w:val="32"/>
          <w:highlight w:val="none"/>
          <w:lang w:val="en-US" w:eastAsia="zh-CN"/>
        </w:rPr>
        <w:t>7.5</w:t>
      </w:r>
      <w:r>
        <w:rPr>
          <w:rFonts w:eastAsia="仿宋_GB2312"/>
          <w:b/>
          <w:sz w:val="32"/>
          <w:szCs w:val="32"/>
          <w:highlight w:val="none"/>
        </w:rPr>
        <w:t>万元。</w:t>
      </w:r>
      <w:r>
        <w:rPr>
          <w:rFonts w:eastAsia="仿宋_GB2312"/>
          <w:sz w:val="32"/>
          <w:szCs w:val="32"/>
          <w:highlight w:val="none"/>
        </w:rPr>
        <w:t>本部门201</w:t>
      </w:r>
      <w:r>
        <w:rPr>
          <w:rFonts w:hint="eastAsia" w:eastAsia="仿宋_GB2312"/>
          <w:sz w:val="32"/>
          <w:szCs w:val="32"/>
          <w:highlight w:val="none"/>
        </w:rPr>
        <w:t>8</w:t>
      </w:r>
      <w:r>
        <w:rPr>
          <w:rFonts w:eastAsia="仿宋_GB2312"/>
          <w:sz w:val="32"/>
          <w:szCs w:val="32"/>
          <w:highlight w:val="none"/>
        </w:rPr>
        <w:t>年末单位公务用车保有量</w:t>
      </w:r>
      <w:r>
        <w:rPr>
          <w:rFonts w:hint="eastAsia" w:eastAsia="仿宋_GB2312"/>
          <w:sz w:val="32"/>
          <w:szCs w:val="32"/>
          <w:highlight w:val="none"/>
          <w:lang w:val="en-US" w:eastAsia="zh-CN"/>
        </w:rPr>
        <w:t>3</w:t>
      </w:r>
      <w:r>
        <w:rPr>
          <w:rFonts w:eastAsia="仿宋_GB2312"/>
          <w:sz w:val="32"/>
          <w:szCs w:val="32"/>
          <w:highlight w:val="none"/>
        </w:rPr>
        <w:t>辆。公车运行维护费支出</w:t>
      </w:r>
      <w:r>
        <w:rPr>
          <w:rFonts w:hint="eastAsia" w:eastAsia="仿宋_GB2312"/>
          <w:sz w:val="32"/>
          <w:szCs w:val="32"/>
          <w:highlight w:val="none"/>
        </w:rPr>
        <w:t>比</w:t>
      </w:r>
      <w:r>
        <w:rPr>
          <w:rFonts w:eastAsia="仿宋_GB2312"/>
          <w:sz w:val="32"/>
          <w:szCs w:val="32"/>
          <w:highlight w:val="none"/>
        </w:rPr>
        <w:t>年初预算</w:t>
      </w:r>
      <w:r>
        <w:rPr>
          <w:rFonts w:eastAsia="仿宋_GB2312"/>
          <w:color w:val="000000"/>
          <w:sz w:val="32"/>
          <w:szCs w:val="32"/>
          <w:highlight w:val="none"/>
        </w:rPr>
        <w:t>无增减变化</w:t>
      </w:r>
      <w:r>
        <w:rPr>
          <w:rFonts w:eastAsia="仿宋_GB2312"/>
          <w:sz w:val="32"/>
          <w:szCs w:val="32"/>
          <w:highlight w:val="none"/>
        </w:rPr>
        <w:t>，增长</w:t>
      </w:r>
      <w:r>
        <w:rPr>
          <w:rFonts w:hint="eastAsia" w:eastAsia="仿宋_GB2312"/>
          <w:sz w:val="32"/>
          <w:szCs w:val="32"/>
          <w:highlight w:val="none"/>
          <w:lang w:val="en-US" w:eastAsia="zh-CN"/>
        </w:rPr>
        <w:t>0</w:t>
      </w:r>
      <w:r>
        <w:rPr>
          <w:rFonts w:eastAsia="仿宋_GB2312"/>
          <w:sz w:val="32"/>
          <w:szCs w:val="32"/>
          <w:highlight w:val="none"/>
        </w:rPr>
        <w:t>%，主要是</w:t>
      </w:r>
      <w:r>
        <w:rPr>
          <w:rFonts w:hint="eastAsia" w:eastAsia="仿宋_GB2312"/>
          <w:sz w:val="32"/>
          <w:szCs w:val="32"/>
          <w:highlight w:val="none"/>
          <w:lang w:eastAsia="zh-CN"/>
        </w:rPr>
        <w:t>公车数量及标准未变化</w:t>
      </w:r>
      <w:r>
        <w:rPr>
          <w:rFonts w:eastAsia="仿宋_GB2312"/>
          <w:sz w:val="32"/>
          <w:szCs w:val="32"/>
          <w:highlight w:val="none"/>
        </w:rPr>
        <w:t>；</w:t>
      </w:r>
      <w:r>
        <w:rPr>
          <w:rFonts w:hint="eastAsia" w:eastAsia="仿宋_GB2312"/>
          <w:sz w:val="32"/>
          <w:szCs w:val="32"/>
          <w:highlight w:val="none"/>
        </w:rPr>
        <w:t>比</w:t>
      </w:r>
      <w:r>
        <w:rPr>
          <w:rFonts w:eastAsia="仿宋_GB2312"/>
          <w:sz w:val="32"/>
          <w:szCs w:val="32"/>
          <w:highlight w:val="none"/>
        </w:rPr>
        <w:t>201</w:t>
      </w:r>
      <w:r>
        <w:rPr>
          <w:rFonts w:hint="eastAsia" w:eastAsia="仿宋_GB2312"/>
          <w:sz w:val="32"/>
          <w:szCs w:val="32"/>
          <w:highlight w:val="none"/>
        </w:rPr>
        <w:t>7</w:t>
      </w:r>
      <w:r>
        <w:rPr>
          <w:rFonts w:eastAsia="仿宋_GB2312"/>
          <w:sz w:val="32"/>
          <w:szCs w:val="32"/>
          <w:highlight w:val="none"/>
        </w:rPr>
        <w:t>年度决算减少</w:t>
      </w:r>
      <w:r>
        <w:rPr>
          <w:rFonts w:hint="eastAsia" w:eastAsia="仿宋_GB2312"/>
          <w:sz w:val="32"/>
          <w:szCs w:val="32"/>
          <w:highlight w:val="none"/>
          <w:lang w:val="en-US" w:eastAsia="zh-CN"/>
        </w:rPr>
        <w:t>1.51</w:t>
      </w:r>
      <w:r>
        <w:rPr>
          <w:rFonts w:eastAsia="仿宋_GB2312"/>
          <w:sz w:val="32"/>
          <w:szCs w:val="32"/>
          <w:highlight w:val="none"/>
        </w:rPr>
        <w:t>万元，降低</w:t>
      </w:r>
      <w:r>
        <w:rPr>
          <w:rFonts w:hint="eastAsia" w:eastAsia="仿宋_GB2312"/>
          <w:sz w:val="32"/>
          <w:szCs w:val="32"/>
          <w:highlight w:val="none"/>
          <w:lang w:val="en-US" w:eastAsia="zh-CN"/>
        </w:rPr>
        <w:t>16.7</w:t>
      </w:r>
      <w:r>
        <w:rPr>
          <w:rFonts w:eastAsia="仿宋_GB2312"/>
          <w:sz w:val="32"/>
          <w:szCs w:val="32"/>
          <w:highlight w:val="none"/>
        </w:rPr>
        <w:t>%，主要</w:t>
      </w:r>
      <w:r>
        <w:rPr>
          <w:rFonts w:eastAsia="仿宋_GB2312"/>
          <w:sz w:val="32"/>
          <w:szCs w:val="32"/>
        </w:rPr>
        <w:t>是</w:t>
      </w:r>
      <w:r>
        <w:rPr>
          <w:rFonts w:hint="eastAsia" w:eastAsia="仿宋_GB2312"/>
          <w:sz w:val="32"/>
          <w:szCs w:val="32"/>
          <w:lang w:eastAsia="zh-CN"/>
        </w:rPr>
        <w:t>公车减少</w:t>
      </w:r>
      <w:r>
        <w:rPr>
          <w:rFonts w:eastAsia="仿宋_GB2312"/>
          <w:sz w:val="32"/>
          <w:szCs w:val="32"/>
        </w:rPr>
        <w:t>。</w:t>
      </w:r>
    </w:p>
    <w:p>
      <w:pPr>
        <w:numPr>
          <w:ilvl w:val="0"/>
          <w:numId w:val="2"/>
        </w:numPr>
        <w:adjustRightInd w:val="0"/>
        <w:snapToGrid w:val="0"/>
        <w:spacing w:line="584" w:lineRule="exact"/>
        <w:ind w:left="0" w:leftChars="0" w:firstLine="643" w:firstLineChars="200"/>
        <w:rPr>
          <w:rFonts w:eastAsia="仿宋_GB2312"/>
          <w:sz w:val="32"/>
          <w:szCs w:val="32"/>
        </w:rPr>
      </w:pPr>
      <w:r>
        <w:rPr>
          <w:rFonts w:eastAsia="楷体_GB2312"/>
          <w:b/>
          <w:bCs/>
          <w:sz w:val="32"/>
          <w:szCs w:val="32"/>
        </w:rPr>
        <w:t>公务接待费支出</w:t>
      </w:r>
      <w:r>
        <w:rPr>
          <w:rFonts w:hint="eastAsia" w:eastAsia="楷体_GB2312"/>
          <w:b/>
          <w:bCs/>
          <w:sz w:val="32"/>
          <w:szCs w:val="32"/>
          <w:lang w:val="en-US" w:eastAsia="zh-CN"/>
        </w:rPr>
        <w:t>0.5</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12</w:t>
      </w:r>
      <w:r>
        <w:rPr>
          <w:rFonts w:eastAsia="仿宋_GB2312"/>
          <w:sz w:val="32"/>
          <w:szCs w:val="32"/>
        </w:rPr>
        <w:t>批次、</w:t>
      </w:r>
      <w:r>
        <w:rPr>
          <w:rFonts w:hint="eastAsia" w:eastAsia="仿宋_GB2312"/>
          <w:sz w:val="32"/>
          <w:szCs w:val="32"/>
          <w:lang w:val="en-US" w:eastAsia="zh-CN"/>
        </w:rPr>
        <w:t>97</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0.35</w:t>
      </w:r>
      <w:r>
        <w:rPr>
          <w:rFonts w:eastAsia="仿宋_GB2312"/>
          <w:sz w:val="32"/>
          <w:szCs w:val="32"/>
        </w:rPr>
        <w:t>万元，降低</w:t>
      </w:r>
      <w:r>
        <w:rPr>
          <w:rFonts w:hint="eastAsia" w:eastAsia="仿宋_GB2312"/>
          <w:sz w:val="32"/>
          <w:szCs w:val="32"/>
          <w:lang w:val="en-US" w:eastAsia="zh-CN"/>
        </w:rPr>
        <w:t>41.1</w:t>
      </w:r>
      <w:r>
        <w:rPr>
          <w:rFonts w:eastAsia="仿宋_GB2312"/>
          <w:sz w:val="32"/>
          <w:szCs w:val="32"/>
        </w:rPr>
        <w:t>%，主要是</w:t>
      </w:r>
      <w:r>
        <w:rPr>
          <w:rFonts w:hint="eastAsia" w:eastAsia="仿宋_GB2312"/>
          <w:sz w:val="32"/>
          <w:szCs w:val="32"/>
          <w:lang w:eastAsia="zh-CN"/>
        </w:rPr>
        <w:t>接待人数及批次减少</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0.02</w:t>
      </w:r>
      <w:r>
        <w:rPr>
          <w:rFonts w:eastAsia="仿宋_GB2312"/>
          <w:sz w:val="32"/>
          <w:szCs w:val="32"/>
        </w:rPr>
        <w:t>万元，降低</w:t>
      </w:r>
      <w:r>
        <w:rPr>
          <w:rFonts w:hint="eastAsia" w:eastAsia="仿宋_GB2312"/>
          <w:sz w:val="32"/>
          <w:szCs w:val="32"/>
          <w:lang w:val="en-US" w:eastAsia="zh-CN"/>
        </w:rPr>
        <w:t>3.8</w:t>
      </w:r>
      <w:r>
        <w:rPr>
          <w:rFonts w:eastAsia="仿宋_GB2312"/>
          <w:sz w:val="32"/>
          <w:szCs w:val="32"/>
        </w:rPr>
        <w:t>%，主要是</w:t>
      </w:r>
      <w:r>
        <w:rPr>
          <w:rFonts w:hint="eastAsia" w:eastAsia="仿宋_GB2312"/>
          <w:sz w:val="32"/>
          <w:szCs w:val="32"/>
          <w:lang w:eastAsia="zh-CN"/>
        </w:rPr>
        <w:t>接待人数及批次减少</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spacing w:line="580" w:lineRule="atLeast"/>
        <w:ind w:firstLine="640" w:firstLineChars="200"/>
        <w:rPr>
          <w:rFonts w:hint="eastAsia" w:ascii="仿宋" w:hAnsi="仿宋" w:eastAsia="仿宋"/>
          <w:sz w:val="32"/>
          <w:szCs w:val="32"/>
        </w:rPr>
      </w:pPr>
      <w:r>
        <w:rPr>
          <w:rFonts w:hint="eastAsia" w:eastAsia="仿宋_GB2312"/>
          <w:sz w:val="32"/>
          <w:szCs w:val="32"/>
          <w:lang w:eastAsia="zh-CN"/>
        </w:rPr>
        <w:t>我部门2018年度认真贯彻落实财政部预算绩效管理工作要求，深化预算绩效管理工作，不断完善预算绩效管理制度，一是完善制度，筑牢预算绩效管理工作根基，明确预算绩效管理工作目标、重点任务、工作责任、保障措施，进一步推动财政支出绩效评价工作制度化规范化；二是夯实基础，建立健全绩效评价指标体系；三是稳步推进，认真实施部门整体支出绩效评价。</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（二）项目绩效自评结果。</w:t>
      </w:r>
    </w:p>
    <w:p>
      <w:pPr>
        <w:spacing w:line="580" w:lineRule="atLeast"/>
        <w:ind w:firstLine="640" w:firstLineChars="200"/>
        <w:rPr>
          <w:rFonts w:hint="eastAsia" w:eastAsia="仿宋_GB2312"/>
          <w:sz w:val="32"/>
          <w:szCs w:val="32"/>
          <w:lang w:eastAsia="zh-CN"/>
        </w:rPr>
      </w:pPr>
      <w:r>
        <w:rPr>
          <w:rFonts w:hint="eastAsia" w:eastAsia="仿宋_GB2312"/>
          <w:sz w:val="32"/>
          <w:szCs w:val="32"/>
          <w:lang w:eastAsia="zh-CN"/>
        </w:rPr>
        <w:t>我部门2018年度开展了项目绩效评价工作，由办公室牵头组织项目绩效考评工作，下达项目绩效考评通知，跟踪了解项目绩效考评工作实施情况，做好项目绩效考评经验总结及交流宣传工作，探索绩效考评结果公示及应用机制，做好相关股室、单位间的协调工作，最后形成预算绩效项目考评工作总结材料。</w:t>
      </w:r>
    </w:p>
    <w:p>
      <w:pPr>
        <w:spacing w:line="580" w:lineRule="atLeast"/>
        <w:ind w:firstLine="640" w:firstLineChars="200"/>
        <w:rPr>
          <w:rFonts w:ascii="仿宋_GB2312" w:eastAsia="仿宋_GB2312" w:cs="DengXian-Regular"/>
          <w:sz w:val="32"/>
          <w:szCs w:val="32"/>
        </w:rPr>
      </w:pPr>
      <w:r>
        <w:rPr>
          <w:rFonts w:hint="eastAsia" w:eastAsia="仿宋_GB2312"/>
          <w:sz w:val="32"/>
          <w:szCs w:val="32"/>
          <w:lang w:eastAsia="zh-CN"/>
        </w:rPr>
        <w:t>按照市财政预算绩效管理要求，对2018年我部门绩效预算执行情况全面开展了自评，我部门对预算绩效评价结果进行认真分析，对管理中存在的问题，提出改进措施。被评价项目总体绩效目标明确，决策依据充分，资金分配科学合理，项目管理较规范，项目完成良好，基本达到了预期效果，对绩效预算执行情况执行的较好。预算绩效管理工作有效的减少了我部门资金使用管理中的损失浪费现象，使资金达到了合理、优化配给。自评结果为</w:t>
      </w:r>
      <w:r>
        <w:rPr>
          <w:rFonts w:hint="eastAsia" w:eastAsia="仿宋_GB2312"/>
          <w:sz w:val="32"/>
          <w:szCs w:val="32"/>
          <w:lang w:val="en-US" w:eastAsia="zh-CN"/>
        </w:rPr>
        <w:t>良好</w:t>
      </w:r>
      <w:r>
        <w:rPr>
          <w:rFonts w:hint="eastAsia" w:eastAsia="仿宋_GB2312"/>
          <w:sz w:val="32"/>
          <w:szCs w:val="32"/>
          <w:lang w:eastAsia="zh-CN"/>
        </w:rPr>
        <w:t>。</w:t>
      </w:r>
    </w:p>
    <w:p>
      <w:pPr>
        <w:numPr>
          <w:ilvl w:val="0"/>
          <w:numId w:val="2"/>
        </w:numPr>
        <w:adjustRightInd w:val="0"/>
        <w:snapToGrid w:val="0"/>
        <w:spacing w:after="0" w:line="580" w:lineRule="exact"/>
        <w:ind w:left="0" w:leftChars="0"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重点项目绩效评价结果。</w:t>
      </w:r>
    </w:p>
    <w:p>
      <w:pPr>
        <w:adjustRightInd w:val="0"/>
        <w:snapToGrid w:val="0"/>
        <w:spacing w:line="584" w:lineRule="exact"/>
        <w:ind w:firstLine="640" w:firstLineChars="200"/>
        <w:rPr>
          <w:rFonts w:hint="eastAsia" w:ascii="仿宋_GB2312" w:hAnsi="Cambria" w:eastAsia="仿宋_GB2312" w:cs="ArialUnicodeMS"/>
          <w:b w:val="0"/>
          <w:bCs w:val="0"/>
          <w:kern w:val="0"/>
          <w:sz w:val="32"/>
          <w:szCs w:val="32"/>
          <w:lang w:val="en-US" w:eastAsia="zh-CN"/>
        </w:rPr>
      </w:pPr>
      <w:r>
        <w:rPr>
          <w:rFonts w:hint="eastAsia" w:ascii="仿宋_GB2312" w:hAnsi="Cambria" w:eastAsia="仿宋_GB2312" w:cs="ArialUnicodeMS"/>
          <w:b w:val="0"/>
          <w:bCs w:val="0"/>
          <w:kern w:val="0"/>
          <w:sz w:val="32"/>
          <w:szCs w:val="32"/>
          <w:lang w:val="en-US" w:eastAsia="zh-CN"/>
        </w:rPr>
        <w:t>本部门 2018 年度无民生项目和重点支出项目。</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103.95</w:t>
      </w:r>
      <w:r>
        <w:rPr>
          <w:rFonts w:hint="eastAsia" w:ascii="仿宋_GB2312" w:eastAsia="仿宋_GB2312" w:cs="DengXian-Regular"/>
          <w:sz w:val="32"/>
          <w:szCs w:val="32"/>
        </w:rPr>
        <w:t>万元，比年初预算数减少</w:t>
      </w:r>
      <w:r>
        <w:rPr>
          <w:rFonts w:hint="eastAsia" w:ascii="仿宋_GB2312" w:eastAsia="仿宋_GB2312" w:cs="DengXian-Regular"/>
          <w:sz w:val="32"/>
          <w:szCs w:val="32"/>
          <w:lang w:val="en-US" w:eastAsia="zh-CN"/>
        </w:rPr>
        <w:t>13.53</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11.5</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节能减排</w:t>
      </w:r>
      <w:r>
        <w:rPr>
          <w:rFonts w:hint="eastAsia" w:ascii="仿宋_GB2312" w:eastAsia="仿宋_GB2312" w:cs="DengXian-Regular"/>
          <w:sz w:val="32"/>
          <w:szCs w:val="32"/>
        </w:rPr>
        <w:t>，厉行节约。较2017年度决算增加</w:t>
      </w:r>
      <w:r>
        <w:rPr>
          <w:rFonts w:hint="eastAsia" w:ascii="仿宋_GB2312" w:eastAsia="仿宋_GB2312" w:cs="DengXian-Regular"/>
          <w:sz w:val="32"/>
          <w:szCs w:val="32"/>
          <w:lang w:val="en-US" w:eastAsia="zh-CN"/>
        </w:rPr>
        <w:t>2.54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2.5</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机关运行成本增加</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hint="eastAsia" w:ascii="仿宋_GB2312" w:eastAsia="仿宋_GB2312" w:cs="DengXian-Regular"/>
          <w:sz w:val="32"/>
          <w:szCs w:val="32"/>
          <w:highlight w:val="yellow"/>
        </w:rPr>
      </w:pPr>
      <w:r>
        <w:rPr>
          <w:rFonts w:hint="eastAsia" w:ascii="仿宋_GB2312" w:eastAsia="仿宋_GB2312" w:cs="DengXian-Regular"/>
          <w:sz w:val="32"/>
          <w:szCs w:val="32"/>
        </w:rPr>
        <w:t>本部门2018年度政府采购支出总额</w:t>
      </w:r>
      <w:r>
        <w:rPr>
          <w:rFonts w:hint="eastAsia" w:ascii="仿宋_GB2312" w:hAnsi="仿宋_GB2312" w:eastAsia="仿宋_GB2312"/>
          <w:color w:val="000000"/>
          <w:sz w:val="32"/>
          <w:highlight w:val="none"/>
          <w:lang w:val="en-US" w:eastAsia="zh-CN"/>
        </w:rPr>
        <w:t>661.99</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olor w:val="000000"/>
          <w:sz w:val="32"/>
          <w:highlight w:val="none"/>
          <w:lang w:val="en-US" w:eastAsia="zh-CN"/>
        </w:rPr>
        <w:t>178.6</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olor w:val="000000"/>
          <w:sz w:val="32"/>
          <w:highlight w:val="none"/>
          <w:lang w:val="en-US" w:eastAsia="zh-CN"/>
        </w:rPr>
        <w:t>483.39</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3</w:t>
      </w:r>
      <w:r>
        <w:rPr>
          <w:rFonts w:hint="eastAsia" w:ascii="仿宋_GB2312" w:eastAsia="仿宋_GB2312" w:cs="DengXian-Regular"/>
          <w:sz w:val="32"/>
          <w:szCs w:val="32"/>
        </w:rPr>
        <w:t>辆，比上年增加</w:t>
      </w:r>
      <w:bookmarkStart w:id="0" w:name="_GoBack"/>
      <w:bookmarkEnd w:id="0"/>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辆，主要是</w:t>
      </w:r>
      <w:r>
        <w:rPr>
          <w:rFonts w:hint="eastAsia" w:ascii="仿宋_GB2312" w:eastAsia="仿宋_GB2312" w:cs="DengXian-Regular"/>
          <w:sz w:val="32"/>
          <w:szCs w:val="32"/>
          <w:lang w:eastAsia="zh-CN"/>
        </w:rPr>
        <w:t>未发生此类支出</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辆，其他用车主要是</w:t>
      </w:r>
      <w:r>
        <w:rPr>
          <w:rFonts w:hint="eastAsia" w:ascii="仿宋_GB2312" w:eastAsia="仿宋_GB2312" w:cs="DengXian-Regular"/>
          <w:sz w:val="32"/>
          <w:szCs w:val="32"/>
          <w:lang w:eastAsia="zh-CN"/>
        </w:rPr>
        <w:t>无其他用车</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无此类设备</w:t>
      </w:r>
      <w:r>
        <w:rPr>
          <w:rFonts w:hint="eastAsia" w:ascii="仿宋_GB2312" w:eastAsia="仿宋_GB2312" w:cs="DengXian-Regular"/>
          <w:sz w:val="32"/>
          <w:szCs w:val="32"/>
        </w:rPr>
        <w:t xml:space="preserve"> ，单位价值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无此类设备</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w:t>
      </w:r>
      <w:r>
        <w:rPr>
          <w:rFonts w:hint="eastAsia" w:ascii="仿宋_GB2312" w:eastAsia="仿宋_GB2312" w:cs="DengXian-Regular"/>
          <w:sz w:val="32"/>
          <w:szCs w:val="32"/>
          <w:lang w:eastAsia="zh-CN"/>
        </w:rPr>
        <w:t>霸州市农业局</w:t>
      </w:r>
      <w:r>
        <w:rPr>
          <w:rFonts w:hint="eastAsia" w:ascii="仿宋_GB2312" w:eastAsia="仿宋_GB2312" w:cs="DengXian-Regular"/>
          <w:sz w:val="32"/>
          <w:szCs w:val="32"/>
        </w:rPr>
        <w:t>无收支及结转结余情况，故收支及结转结余表以空表列示。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78C79E19-5170-44EA-AC02-99C82A457132}"/>
  </w:font>
  <w:font w:name="黑体">
    <w:panose1 w:val="02010609060101010101"/>
    <w:charset w:val="86"/>
    <w:family w:val="auto"/>
    <w:pitch w:val="default"/>
    <w:sig w:usb0="800002BF" w:usb1="38CF7CFA" w:usb2="00000016" w:usb3="00000000" w:csb0="00040001" w:csb1="00000000"/>
    <w:embedRegular r:id="rId2" w:fontKey="{FF8CF948-1895-4FC4-B310-AF9836BAA04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3" w:fontKey="{BADECE70-1B66-4627-863F-17D920EC3DBD}"/>
  </w:font>
  <w:font w:name="楷体">
    <w:panose1 w:val="02010609060101010101"/>
    <w:charset w:val="86"/>
    <w:family w:val="modern"/>
    <w:pitch w:val="default"/>
    <w:sig w:usb0="800002BF" w:usb1="38CF7CFA" w:usb2="00000016" w:usb3="00000000" w:csb0="00040001" w:csb1="00000000"/>
    <w:embedRegular r:id="rId4" w:fontKey="{2D3A5913-0554-4E0B-9F4A-1F1E1F7F34D2}"/>
  </w:font>
  <w:font w:name="仿宋_GB2312">
    <w:panose1 w:val="02010609030101010101"/>
    <w:charset w:val="86"/>
    <w:family w:val="modern"/>
    <w:pitch w:val="default"/>
    <w:sig w:usb0="00000000" w:usb1="00000000" w:usb2="00000000" w:usb3="00000000" w:csb0="00000000" w:csb1="00000000"/>
    <w:embedRegular r:id="rId5" w:fontKey="{95AD6B9F-7C4C-421C-A279-C047CF8A6811}"/>
  </w:font>
  <w:font w:name="仿宋">
    <w:panose1 w:val="02010609060101010101"/>
    <w:charset w:val="86"/>
    <w:family w:val="modern"/>
    <w:pitch w:val="default"/>
    <w:sig w:usb0="800002BF" w:usb1="38CF7CFA" w:usb2="00000016" w:usb3="00000000" w:csb0="00040001" w:csb1="00000000"/>
    <w:embedRegular r:id="rId6" w:fontKey="{2A1D8275-2100-49D1-A9D1-BD8C18530248}"/>
  </w:font>
  <w:font w:name="ArialUnicodeMS">
    <w:altName w:val="Malgun Gothic"/>
    <w:panose1 w:val="00000000000000000000"/>
    <w:charset w:val="81"/>
    <w:family w:val="auto"/>
    <w:pitch w:val="default"/>
    <w:sig w:usb0="00000000" w:usb1="00000000" w:usb2="00000010" w:usb3="00000000" w:csb0="00080001" w:csb1="00000000"/>
    <w:embedRegular r:id="rId7" w:fontKey="{1C366038-A686-4763-96D5-5CFB3FE23E5E}"/>
  </w:font>
  <w:font w:name="MS-UIGothic,Bold">
    <w:altName w:val="Malgun Gothic"/>
    <w:panose1 w:val="00000000000000000000"/>
    <w:charset w:val="81"/>
    <w:family w:val="auto"/>
    <w:pitch w:val="default"/>
    <w:sig w:usb0="00000000" w:usb1="00000000" w:usb2="00000010" w:usb3="00000000" w:csb0="00080000" w:csb1="00000000"/>
    <w:embedRegular r:id="rId8" w:fontKey="{6F1FD29D-2120-428C-B2DB-FD18BA9CBA8B}"/>
  </w:font>
  <w:font w:name="DengXian-Regular">
    <w:altName w:val="宋体"/>
    <w:panose1 w:val="00000000000000000000"/>
    <w:charset w:val="86"/>
    <w:family w:val="auto"/>
    <w:pitch w:val="default"/>
    <w:sig w:usb0="00000000" w:usb1="00000000" w:usb2="00000010" w:usb3="00000000" w:csb0="00040001" w:csb1="00000000"/>
    <w:embedRegular r:id="rId9" w:fontKey="{5759D343-9DF5-4EE3-A01F-7E0C8AA6D22B}"/>
  </w:font>
  <w:font w:name="楷体_GB2312">
    <w:panose1 w:val="02010609030101010101"/>
    <w:charset w:val="86"/>
    <w:family w:val="modern"/>
    <w:pitch w:val="default"/>
    <w:sig w:usb0="00000000" w:usb1="00000000" w:usb2="00000000" w:usb3="00000000" w:csb0="00000000" w:csb1="00000000"/>
    <w:embedRegular r:id="rId10" w:fontKey="{8F395CE8-0342-439D-A4D0-7FD9AD4DD930}"/>
  </w:font>
  <w:font w:name="DengXian-Bold">
    <w:altName w:val="宋体"/>
    <w:panose1 w:val="00000000000000000000"/>
    <w:charset w:val="86"/>
    <w:family w:val="auto"/>
    <w:pitch w:val="default"/>
    <w:sig w:usb0="00000000" w:usb1="00000000" w:usb2="00000010" w:usb3="00000000" w:csb0="00040001" w:csb1="00000000"/>
    <w:embedRegular r:id="rId11" w:fontKey="{271A467E-4C6F-496C-9298-22F2613C8C89}"/>
  </w:font>
  <w:font w:name="TimesNewRomanPSMT">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7137800C"/>
    <w:multiLevelType w:val="singleLevel"/>
    <w:tmpl w:val="7137800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13F747B"/>
    <w:rsid w:val="04073F84"/>
    <w:rsid w:val="0B60750A"/>
    <w:rsid w:val="0BB63692"/>
    <w:rsid w:val="0DC57363"/>
    <w:rsid w:val="10686488"/>
    <w:rsid w:val="10DF728A"/>
    <w:rsid w:val="1264200E"/>
    <w:rsid w:val="141C5B77"/>
    <w:rsid w:val="178A2553"/>
    <w:rsid w:val="18D8339D"/>
    <w:rsid w:val="1A21388F"/>
    <w:rsid w:val="1A570D2F"/>
    <w:rsid w:val="20D67E41"/>
    <w:rsid w:val="28FB0B8D"/>
    <w:rsid w:val="2D2B7942"/>
    <w:rsid w:val="2D46481D"/>
    <w:rsid w:val="2E733B28"/>
    <w:rsid w:val="2F0B2B01"/>
    <w:rsid w:val="31852B5A"/>
    <w:rsid w:val="32D01238"/>
    <w:rsid w:val="35486505"/>
    <w:rsid w:val="3DFC59A8"/>
    <w:rsid w:val="3ECF245E"/>
    <w:rsid w:val="3FB96314"/>
    <w:rsid w:val="408060DD"/>
    <w:rsid w:val="43954D55"/>
    <w:rsid w:val="45847761"/>
    <w:rsid w:val="49295780"/>
    <w:rsid w:val="53A44FAF"/>
    <w:rsid w:val="570E6205"/>
    <w:rsid w:val="594329EC"/>
    <w:rsid w:val="5BEE1540"/>
    <w:rsid w:val="5DE61A5D"/>
    <w:rsid w:val="63C04243"/>
    <w:rsid w:val="649C01C7"/>
    <w:rsid w:val="699A3F60"/>
    <w:rsid w:val="6D9717CF"/>
    <w:rsid w:val="72902E62"/>
    <w:rsid w:val="72A729A6"/>
    <w:rsid w:val="73C61104"/>
    <w:rsid w:val="753A1BF5"/>
    <w:rsid w:val="776452EA"/>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9DA58-3CA2-4856-9A51-CD581AE1A768}">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0</TotalTime>
  <ScaleCrop>false</ScaleCrop>
  <LinksUpToDate>false</LinksUpToDate>
  <CharactersWithSpaces>11081</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2021-05-26T16:36:33Z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